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0A6B" w:rsidP="000C0A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CPCCPD3034 Apply advanced decorative paint finishes</w:t>
      </w:r>
      <w:r>
        <w:fldChar w:fldCharType="end"/>
      </w:r>
    </w:p>
    <w:p w:rsidR="000C0A6B" w:rsidP="000C0A6B">
      <w:pPr>
        <w:pStyle w:val="Version"/>
        <w:sectPr w:rsidSect="004C7F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4C7FB7" w:rsidP="004C7FB7">
      <w:pPr>
        <w:pStyle w:val="SuperHeading"/>
      </w:pPr>
      <w:r w:rsidRPr="004C7FB7">
        <w:t>Assessment Requirements for CPCCPD3034 Apply advanced decorative paint finishes</w:t>
      </w:r>
    </w:p>
    <w:p w:rsidR="00000000" w:rsidRPr="004C7FB7" w:rsidP="004C7FB7">
      <w:pPr>
        <w:pStyle w:val="Heading1"/>
      </w:pPr>
      <w:bookmarkStart w:id="1" w:name="O_1292760"/>
      <w:bookmarkEnd w:id="1"/>
      <w:r w:rsidRPr="004C7FB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C7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FB7">
            <w:pPr>
              <w:pStyle w:val="BodyText"/>
              <w:rPr>
                <w:lang w:val="en-NZ"/>
              </w:rPr>
            </w:pPr>
            <w:r w:rsidRPr="004C7FB7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FB7">
            <w:pPr>
              <w:pStyle w:val="BodyText"/>
              <w:rPr>
                <w:lang w:val="en-NZ"/>
              </w:rPr>
            </w:pPr>
            <w:r w:rsidRPr="004C7FB7">
              <w:t>Updated reference to general construction induction training program.</w:t>
            </w:r>
          </w:p>
        </w:tc>
      </w:tr>
      <w:tr w:rsidTr="004C7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FB7">
            <w:pPr>
              <w:pStyle w:val="BodyText"/>
              <w:rPr>
                <w:lang w:val="en-NZ"/>
              </w:rPr>
            </w:pPr>
            <w:r w:rsidRPr="004C7FB7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FB7" w:rsidP="004C7FB7">
            <w:pPr>
              <w:pStyle w:val="BodyText"/>
            </w:pPr>
            <w:r w:rsidRPr="004C7FB7">
              <w:t>This version first released with CPC Construction, Plumbing and Services Training Package Release 6.4.</w:t>
            </w:r>
          </w:p>
          <w:p w:rsidR="00000000" w:rsidP="004C7FB7">
            <w:pPr>
              <w:pStyle w:val="BodyText"/>
              <w:rPr>
                <w:lang w:val="en-NZ"/>
              </w:rPr>
            </w:pPr>
            <w:r w:rsidRPr="004C7FB7">
              <w:t>Correction to Training Package title in the Modification History from CPC Property Services to CPC Construction, Plumbing and Services Training Package.</w:t>
            </w:r>
          </w:p>
        </w:tc>
      </w:tr>
      <w:tr w:rsidTr="004C7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FB7">
            <w:pPr>
              <w:pStyle w:val="BodyText"/>
              <w:rPr>
                <w:lang w:val="en-NZ"/>
              </w:rPr>
            </w:pPr>
            <w:r w:rsidRPr="004C7FB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FB7" w:rsidP="004C7FB7">
            <w:pPr>
              <w:pStyle w:val="BodyText"/>
            </w:pPr>
            <w:r w:rsidRPr="004C7FB7">
              <w:t>This version first released with CPC Property Services Training Package Release 5.0.</w:t>
            </w:r>
          </w:p>
          <w:p w:rsidR="00000000" w:rsidRPr="004C7FB7" w:rsidP="004C7FB7">
            <w:pPr>
              <w:pStyle w:val="BodyText"/>
            </w:pPr>
            <w:r w:rsidRPr="004C7FB7">
              <w:t>Supersedes and is equivalent to CPCCPD3034A Apply advanced decorative paint finishes.  Updated to meet the Standards for Training Packages 2012.</w:t>
            </w:r>
          </w:p>
        </w:tc>
      </w:tr>
    </w:tbl>
    <w:p w:rsidR="00000000" w:rsidRPr="004C7FB7" w:rsidP="004C7FB7">
      <w:pPr>
        <w:pStyle w:val="BodyText"/>
      </w:pPr>
    </w:p>
    <w:p w:rsidR="00000000" w:rsidRPr="004C7FB7" w:rsidP="004C7FB7">
      <w:pPr>
        <w:pStyle w:val="AllowPageBreak"/>
      </w:pPr>
    </w:p>
    <w:p w:rsidR="00000000" w:rsidRPr="004C7FB7" w:rsidP="004C7FB7">
      <w:pPr>
        <w:pStyle w:val="Heading1"/>
      </w:pPr>
      <w:bookmarkStart w:id="2" w:name="O_1292759"/>
      <w:bookmarkEnd w:id="2"/>
      <w:r w:rsidRPr="004C7FB7">
        <w:t>Performance Evidence</w:t>
      </w:r>
    </w:p>
    <w:p w:rsidR="00000000" w:rsidRPr="004C7FB7" w:rsidP="000C0A6B">
      <w:pPr>
        <w:pStyle w:val="BodyText"/>
      </w:pPr>
      <w:r w:rsidRPr="004C7FB7">
        <w:t>To demonstrate competency, a candidate must meet the performance criteria of this unit by applying the following advanced decorative finishes:</w:t>
      </w:r>
    </w:p>
    <w:p w:rsidR="00000000" w:rsidRPr="004C7FB7" w:rsidP="004C7FB7">
      <w:pPr>
        <w:pStyle w:val="ListBullet"/>
      </w:pPr>
      <w:r w:rsidRPr="004C7FB7">
        <w:t>one marble effect on a minimum three square metre surface</w:t>
      </w:r>
    </w:p>
    <w:p w:rsidR="00000000" w:rsidRPr="004C7FB7" w:rsidP="004C7FB7">
      <w:pPr>
        <w:pStyle w:val="ListBullet"/>
      </w:pPr>
      <w:r w:rsidRPr="004C7FB7">
        <w:t>one wood graining effect on a minimum three square metre surface</w:t>
      </w:r>
    </w:p>
    <w:p w:rsidR="00000000" w:rsidRPr="004C7FB7" w:rsidP="004C7FB7">
      <w:pPr>
        <w:pStyle w:val="ListBullet"/>
      </w:pPr>
      <w:r w:rsidRPr="004C7FB7">
        <w:t>design and cutting of a multi-plate stencil and at least six applications of the stencil in a specified pattern on an appropriate surface</w:t>
      </w:r>
    </w:p>
    <w:p w:rsidR="00000000" w:rsidRPr="004C7FB7" w:rsidP="004C7FB7">
      <w:pPr>
        <w:pStyle w:val="ListBullet"/>
      </w:pPr>
      <w:r w:rsidRPr="004C7FB7">
        <w:t>complex pattern lining on a minimum three lineal metr</w:t>
      </w:r>
      <w:r w:rsidRPr="004C7FB7">
        <w:t>e surface</w:t>
      </w:r>
    </w:p>
    <w:p w:rsidR="00000000" w:rsidRPr="004C7FB7" w:rsidP="004C7FB7">
      <w:pPr>
        <w:pStyle w:val="ListBullet"/>
      </w:pPr>
      <w:r w:rsidRPr="004C7FB7">
        <w:t>a gilded finish to highlight a decorative feature</w:t>
      </w:r>
    </w:p>
    <w:p w:rsidR="00000000" w:rsidRPr="004C7FB7" w:rsidP="004C7FB7">
      <w:pPr>
        <w:pStyle w:val="ListBullet"/>
      </w:pPr>
      <w:r w:rsidRPr="004C7FB7">
        <w:t>a large scale mural or trompe l</w:t>
      </w:r>
      <w:r>
        <w:t>’</w:t>
      </w:r>
      <w:r w:rsidRPr="004C7FB7">
        <w:t>oeil.</w:t>
      </w:r>
    </w:p>
    <w:p w:rsidR="00000000" w:rsidRPr="004C7FB7" w:rsidP="000C0A6B">
      <w:pPr>
        <w:pStyle w:val="BodyText"/>
      </w:pPr>
      <w:r w:rsidRPr="004C7FB7">
        <w:t>All work must be performed to the standard required in the workplace and must meet the requirements of work health and safety (WHS), Commonwealth and state or</w:t>
      </w:r>
      <w:r w:rsidRPr="004C7FB7">
        <w:t xml:space="preserve"> territory legislation, manufacturers’ specifications, and environmental plans and obligations. </w:t>
      </w:r>
    </w:p>
    <w:p w:rsidR="00000000" w:rsidRPr="004C7FB7" w:rsidP="004C7FB7">
      <w:pPr>
        <w:pStyle w:val="Heading1"/>
      </w:pPr>
      <w:bookmarkStart w:id="3" w:name="O_1292758"/>
      <w:bookmarkEnd w:id="3"/>
      <w:r w:rsidRPr="004C7FB7">
        <w:t>Knowledge Evidence</w:t>
      </w:r>
    </w:p>
    <w:p w:rsidR="00000000" w:rsidRPr="004C7FB7" w:rsidP="000C0A6B">
      <w:pPr>
        <w:pStyle w:val="BodyText"/>
      </w:pPr>
      <w:r w:rsidRPr="004C7FB7">
        <w:t>To be competent in this unit, a candidate must demonstrate knowledge of:</w:t>
      </w:r>
    </w:p>
    <w:p w:rsidR="00000000" w:rsidRPr="004C7FB7" w:rsidP="004C7FB7">
      <w:pPr>
        <w:pStyle w:val="ListBullet"/>
      </w:pPr>
      <w:r w:rsidRPr="004C7FB7">
        <w:t>safety requirements relevant to applying advanc</w:t>
      </w:r>
      <w:r w:rsidRPr="004C7FB7">
        <w:t>ed decorative paint finishes</w:t>
      </w:r>
    </w:p>
    <w:p w:rsidR="00000000" w:rsidRPr="004C7FB7" w:rsidP="004C7FB7">
      <w:pPr>
        <w:pStyle w:val="ListBullet"/>
      </w:pPr>
      <w:r w:rsidRPr="004C7FB7">
        <w:t>environmental requirements relevant to applying advanced decorative paint finishes</w:t>
      </w:r>
    </w:p>
    <w:p w:rsidR="00000000" w:rsidRPr="004C7FB7" w:rsidP="004C7FB7">
      <w:pPr>
        <w:pStyle w:val="ListBullet"/>
      </w:pPr>
      <w:r w:rsidRPr="004C7FB7">
        <w:t>Australian Paint Approval Scheme (APAS) classifications</w:t>
      </w:r>
    </w:p>
    <w:p w:rsidR="00000000" w:rsidRPr="004C7FB7" w:rsidP="004C7FB7">
      <w:pPr>
        <w:pStyle w:val="ListBullet"/>
      </w:pPr>
      <w:r w:rsidRPr="004C7FB7">
        <w:t>types of advanced imitation effects:</w:t>
      </w:r>
    </w:p>
    <w:p w:rsidR="00000000" w:rsidRPr="004C7FB7" w:rsidP="004C7FB7">
      <w:pPr>
        <w:pStyle w:val="ListBullet2"/>
      </w:pPr>
      <w:r w:rsidRPr="004C7FB7">
        <w:t>imitation granite</w:t>
      </w:r>
    </w:p>
    <w:p w:rsidR="00000000" w:rsidRPr="004C7FB7" w:rsidP="004C7FB7">
      <w:pPr>
        <w:pStyle w:val="ListBullet2"/>
      </w:pPr>
      <w:r w:rsidRPr="004C7FB7">
        <w:t>imitation marble</w:t>
      </w:r>
    </w:p>
    <w:p w:rsidR="00000000" w:rsidRPr="004C7FB7" w:rsidP="004C7FB7">
      <w:pPr>
        <w:pStyle w:val="ListBullet2"/>
      </w:pPr>
      <w:r w:rsidRPr="004C7FB7">
        <w:t>lapis effects</w:t>
      </w:r>
    </w:p>
    <w:p w:rsidR="00000000" w:rsidRPr="004C7FB7" w:rsidP="004C7FB7">
      <w:pPr>
        <w:pStyle w:val="ListBullet2"/>
      </w:pPr>
      <w:r w:rsidRPr="004C7FB7">
        <w:t>complex imitation wood grain using inlays</w:t>
      </w:r>
    </w:p>
    <w:p w:rsidR="00000000" w:rsidRPr="004C7FB7" w:rsidP="004C7FB7">
      <w:pPr>
        <w:pStyle w:val="ListBullet"/>
      </w:pPr>
      <w:r w:rsidRPr="004C7FB7">
        <w:t>types of advanced lining, special finishes and techniques:</w:t>
      </w:r>
    </w:p>
    <w:p w:rsidR="00000000" w:rsidRPr="004C7FB7" w:rsidP="004C7FB7">
      <w:pPr>
        <w:pStyle w:val="ListBullet2"/>
      </w:pPr>
      <w:r w:rsidRPr="004C7FB7">
        <w:t>advanced stencils</w:t>
      </w:r>
    </w:p>
    <w:p w:rsidR="00000000" w:rsidRPr="004C7FB7" w:rsidP="004C7FB7">
      <w:pPr>
        <w:pStyle w:val="ListBullet2"/>
      </w:pPr>
      <w:r w:rsidRPr="004C7FB7">
        <w:t>gold leaf and gilding powder</w:t>
      </w:r>
    </w:p>
    <w:p w:rsidR="00000000" w:rsidRPr="004C7FB7" w:rsidP="004C7FB7">
      <w:pPr>
        <w:pStyle w:val="ListBullet2"/>
      </w:pPr>
      <w:r w:rsidRPr="004C7FB7">
        <w:t>finishing techniques, including waxes and other finishes</w:t>
      </w:r>
    </w:p>
    <w:p w:rsidR="00000000" w:rsidRPr="004C7FB7" w:rsidP="004C7FB7">
      <w:pPr>
        <w:pStyle w:val="ListBullet2"/>
      </w:pPr>
      <w:r w:rsidRPr="004C7FB7">
        <w:t>murals and trompe l</w:t>
      </w:r>
      <w:r>
        <w:t>’</w:t>
      </w:r>
      <w:r w:rsidRPr="004C7FB7">
        <w:t>oeil</w:t>
      </w:r>
    </w:p>
    <w:p w:rsidR="00000000" w:rsidRPr="004C7FB7" w:rsidP="004C7FB7">
      <w:pPr>
        <w:pStyle w:val="ListBullet"/>
      </w:pPr>
      <w:r w:rsidRPr="004C7FB7">
        <w:t>achieving advanced imit</w:t>
      </w:r>
      <w:r w:rsidRPr="004C7FB7">
        <w:t>ation effects using:</w:t>
      </w:r>
    </w:p>
    <w:p w:rsidR="00000000" w:rsidRPr="004C7FB7" w:rsidP="004C7FB7">
      <w:pPr>
        <w:pStyle w:val="ListBullet2"/>
      </w:pPr>
      <w:r w:rsidRPr="004C7FB7">
        <w:t>brush-grainer</w:t>
      </w:r>
    </w:p>
    <w:p w:rsidR="00000000" w:rsidRPr="004C7FB7" w:rsidP="004C7FB7">
      <w:pPr>
        <w:pStyle w:val="ListBullet2"/>
      </w:pPr>
      <w:r w:rsidRPr="004C7FB7">
        <w:t>chamois</w:t>
      </w:r>
    </w:p>
    <w:p w:rsidR="00000000" w:rsidRPr="004C7FB7" w:rsidP="004C7FB7">
      <w:pPr>
        <w:pStyle w:val="ListBullet2"/>
      </w:pPr>
      <w:r w:rsidRPr="004C7FB7">
        <w:t>check roller</w:t>
      </w:r>
    </w:p>
    <w:p w:rsidR="00000000" w:rsidRPr="004C7FB7" w:rsidP="004C7FB7">
      <w:pPr>
        <w:pStyle w:val="ListBullet2"/>
      </w:pPr>
      <w:r w:rsidRPr="004C7FB7">
        <w:t>crayons</w:t>
      </w:r>
    </w:p>
    <w:p w:rsidR="00000000" w:rsidRPr="004C7FB7" w:rsidP="004C7FB7">
      <w:pPr>
        <w:pStyle w:val="ListBullet2"/>
      </w:pPr>
      <w:r w:rsidRPr="004C7FB7">
        <w:t>cutters</w:t>
      </w:r>
    </w:p>
    <w:p w:rsidR="00000000" w:rsidRPr="004C7FB7" w:rsidP="004C7FB7">
      <w:pPr>
        <w:pStyle w:val="ListBullet2"/>
      </w:pPr>
      <w:r w:rsidRPr="004C7FB7">
        <w:t>feathers</w:t>
      </w:r>
    </w:p>
    <w:p w:rsidR="00000000" w:rsidRPr="004C7FB7" w:rsidP="004C7FB7">
      <w:pPr>
        <w:pStyle w:val="ListBullet2"/>
      </w:pPr>
      <w:r w:rsidRPr="004C7FB7">
        <w:t>fitches</w:t>
      </w:r>
    </w:p>
    <w:p w:rsidR="00000000" w:rsidRPr="004C7FB7" w:rsidP="004C7FB7">
      <w:pPr>
        <w:pStyle w:val="ListBullet2"/>
      </w:pPr>
      <w:r w:rsidRPr="004C7FB7">
        <w:t>floggers</w:t>
      </w:r>
    </w:p>
    <w:p w:rsidR="00000000" w:rsidRPr="004C7FB7" w:rsidP="004C7FB7">
      <w:pPr>
        <w:pStyle w:val="ListBullet2"/>
      </w:pPr>
      <w:r w:rsidRPr="004C7FB7">
        <w:t>heart grain simulator</w:t>
      </w:r>
    </w:p>
    <w:p w:rsidR="00000000" w:rsidRPr="004C7FB7" w:rsidP="004C7FB7">
      <w:pPr>
        <w:pStyle w:val="ListBullet2"/>
      </w:pPr>
      <w:r w:rsidRPr="004C7FB7">
        <w:t>mottlers</w:t>
      </w:r>
    </w:p>
    <w:p w:rsidR="00000000" w:rsidRPr="004C7FB7" w:rsidP="004C7FB7">
      <w:pPr>
        <w:pStyle w:val="ListBullet2"/>
      </w:pPr>
      <w:r w:rsidRPr="004C7FB7">
        <w:t>over-grainers</w:t>
      </w:r>
    </w:p>
    <w:p w:rsidR="00000000" w:rsidRPr="004C7FB7" w:rsidP="004C7FB7">
      <w:pPr>
        <w:pStyle w:val="ListBullet2"/>
      </w:pPr>
      <w:r w:rsidRPr="004C7FB7">
        <w:t>pencils</w:t>
      </w:r>
    </w:p>
    <w:p w:rsidR="00000000" w:rsidRPr="004C7FB7" w:rsidP="004C7FB7">
      <w:pPr>
        <w:pStyle w:val="ListBullet2"/>
      </w:pPr>
      <w:r w:rsidRPr="004C7FB7">
        <w:t>rubber combs</w:t>
      </w:r>
    </w:p>
    <w:p w:rsidR="00000000" w:rsidRPr="004C7FB7" w:rsidP="004C7FB7">
      <w:pPr>
        <w:pStyle w:val="ListBullet2"/>
      </w:pPr>
      <w:r w:rsidRPr="004C7FB7">
        <w:t>softeners</w:t>
      </w:r>
    </w:p>
    <w:p w:rsidR="00000000" w:rsidRPr="004C7FB7" w:rsidP="004C7FB7">
      <w:pPr>
        <w:pStyle w:val="ListBullet2"/>
      </w:pPr>
      <w:r w:rsidRPr="004C7FB7">
        <w:t>sponges</w:t>
      </w:r>
    </w:p>
    <w:p w:rsidR="00000000" w:rsidRPr="004C7FB7" w:rsidP="004C7FB7">
      <w:pPr>
        <w:pStyle w:val="ListBullet2"/>
      </w:pPr>
      <w:r w:rsidRPr="004C7FB7">
        <w:t>steel combs</w:t>
      </w:r>
    </w:p>
    <w:p w:rsidR="00000000" w:rsidRPr="004C7FB7" w:rsidP="004C7FB7">
      <w:pPr>
        <w:pStyle w:val="ListBullet2"/>
      </w:pPr>
      <w:r w:rsidRPr="004C7FB7">
        <w:t>stippling brushes</w:t>
      </w:r>
    </w:p>
    <w:p w:rsidR="00000000" w:rsidRPr="004C7FB7" w:rsidP="004C7FB7">
      <w:pPr>
        <w:pStyle w:val="ListBullet2"/>
      </w:pPr>
      <w:r w:rsidRPr="004C7FB7">
        <w:t>veining horn</w:t>
      </w:r>
    </w:p>
    <w:p w:rsidR="00000000" w:rsidRPr="004C7FB7" w:rsidP="004C7FB7">
      <w:pPr>
        <w:pStyle w:val="ListBullet"/>
      </w:pPr>
      <w:r w:rsidRPr="004C7FB7">
        <w:t>stencilling tools:</w:t>
      </w:r>
    </w:p>
    <w:p w:rsidR="00000000" w:rsidRPr="004C7FB7" w:rsidP="004C7FB7">
      <w:pPr>
        <w:pStyle w:val="ListBullet2"/>
      </w:pPr>
      <w:r w:rsidRPr="004C7FB7">
        <w:t>cutting boards</w:t>
      </w:r>
    </w:p>
    <w:p w:rsidR="00000000" w:rsidRPr="004C7FB7" w:rsidP="004C7FB7">
      <w:pPr>
        <w:pStyle w:val="ListBullet2"/>
      </w:pPr>
      <w:r w:rsidRPr="004C7FB7">
        <w:t>cutting knives and scalpels</w:t>
      </w:r>
    </w:p>
    <w:p w:rsidR="00000000" w:rsidRPr="004C7FB7" w:rsidP="004C7FB7">
      <w:pPr>
        <w:pStyle w:val="ListBullet2"/>
      </w:pPr>
      <w:r w:rsidRPr="004C7FB7">
        <w:t>drawing and tracing materials</w:t>
      </w:r>
    </w:p>
    <w:p w:rsidR="00000000" w:rsidRPr="004C7FB7" w:rsidP="004C7FB7">
      <w:pPr>
        <w:pStyle w:val="ListBullet2"/>
      </w:pPr>
      <w:r w:rsidRPr="004C7FB7">
        <w:t>stencil brushes</w:t>
      </w:r>
    </w:p>
    <w:p w:rsidR="00000000" w:rsidRPr="004C7FB7" w:rsidP="004C7FB7">
      <w:pPr>
        <w:pStyle w:val="ListBullet2"/>
      </w:pPr>
      <w:r w:rsidRPr="004C7FB7">
        <w:t>stencil materials</w:t>
      </w:r>
    </w:p>
    <w:p w:rsidR="00000000" w:rsidRPr="004C7FB7" w:rsidP="004C7FB7">
      <w:pPr>
        <w:pStyle w:val="ListBullet"/>
      </w:pPr>
      <w:r w:rsidRPr="004C7FB7">
        <w:t>types, properties, uses and limitations of the following materials relevant to decorative finishes:</w:t>
      </w:r>
    </w:p>
    <w:p w:rsidR="00000000" w:rsidRPr="004C7FB7" w:rsidP="004C7FB7">
      <w:pPr>
        <w:pStyle w:val="ListBullet2"/>
      </w:pPr>
      <w:r w:rsidRPr="004C7FB7">
        <w:t>clear finishes</w:t>
      </w:r>
    </w:p>
    <w:p w:rsidR="00000000" w:rsidRPr="004C7FB7" w:rsidP="004C7FB7">
      <w:pPr>
        <w:pStyle w:val="ListBullet2"/>
      </w:pPr>
      <w:r w:rsidRPr="004C7FB7">
        <w:t>fillers</w:t>
      </w:r>
    </w:p>
    <w:p w:rsidR="00000000" w:rsidRPr="004C7FB7" w:rsidP="004C7FB7">
      <w:pPr>
        <w:pStyle w:val="ListBullet2"/>
      </w:pPr>
      <w:r w:rsidRPr="004C7FB7">
        <w:t>linseed oil</w:t>
      </w:r>
    </w:p>
    <w:p w:rsidR="00000000" w:rsidRPr="004C7FB7" w:rsidP="004C7FB7">
      <w:pPr>
        <w:pStyle w:val="ListBullet2"/>
      </w:pPr>
      <w:r w:rsidRPr="004C7FB7">
        <w:t>manufacturer</w:t>
      </w:r>
      <w:r w:rsidRPr="004C7FB7">
        <w:t>s</w:t>
      </w:r>
      <w:r>
        <w:t>’</w:t>
      </w:r>
      <w:r w:rsidRPr="004C7FB7">
        <w:t xml:space="preserve"> proprietary products</w:t>
      </w:r>
    </w:p>
    <w:p w:rsidR="00000000" w:rsidRPr="004C7FB7" w:rsidP="004C7FB7">
      <w:pPr>
        <w:pStyle w:val="ListBullet2"/>
      </w:pPr>
      <w:r w:rsidRPr="004C7FB7">
        <w:t>oil-based products</w:t>
      </w:r>
    </w:p>
    <w:p w:rsidR="00000000" w:rsidRPr="004C7FB7" w:rsidP="004C7FB7">
      <w:pPr>
        <w:pStyle w:val="ListBullet2"/>
      </w:pPr>
      <w:r w:rsidRPr="004C7FB7">
        <w:t>scumbling mediums</w:t>
      </w:r>
    </w:p>
    <w:p w:rsidR="00000000" w:rsidRPr="004C7FB7" w:rsidP="004C7FB7">
      <w:pPr>
        <w:pStyle w:val="ListBullet2"/>
      </w:pPr>
      <w:r w:rsidRPr="004C7FB7">
        <w:t>stainers</w:t>
      </w:r>
    </w:p>
    <w:p w:rsidR="00000000" w:rsidRPr="004C7FB7" w:rsidP="004C7FB7">
      <w:pPr>
        <w:pStyle w:val="ListBullet2"/>
      </w:pPr>
      <w:r w:rsidRPr="004C7FB7">
        <w:t>terebine dryers</w:t>
      </w:r>
    </w:p>
    <w:p w:rsidR="00000000" w:rsidRPr="004C7FB7" w:rsidP="004C7FB7">
      <w:pPr>
        <w:pStyle w:val="ListBullet2"/>
      </w:pPr>
      <w:r w:rsidRPr="004C7FB7">
        <w:t>water-based products</w:t>
      </w:r>
    </w:p>
    <w:p w:rsidR="00000000" w:rsidRPr="004C7FB7" w:rsidP="004C7FB7">
      <w:pPr>
        <w:pStyle w:val="ListBullet2"/>
      </w:pPr>
      <w:r w:rsidRPr="004C7FB7">
        <w:t>waxes</w:t>
      </w:r>
    </w:p>
    <w:p w:rsidR="00000000" w:rsidRPr="004C7FB7" w:rsidP="004C7FB7">
      <w:pPr>
        <w:pStyle w:val="ListBullet"/>
      </w:pPr>
      <w:r w:rsidRPr="004C7FB7">
        <w:t>colour fleck materials and application techniques</w:t>
      </w:r>
    </w:p>
    <w:p w:rsidR="00000000" w:rsidRPr="004C7FB7" w:rsidP="004C7FB7">
      <w:pPr>
        <w:pStyle w:val="ListBullet"/>
      </w:pPr>
      <w:r w:rsidRPr="004C7FB7">
        <w:t>compatibility of surface coatings to substrates</w:t>
      </w:r>
    </w:p>
    <w:p w:rsidR="00000000" w:rsidRPr="004C7FB7" w:rsidP="004C7FB7">
      <w:pPr>
        <w:pStyle w:val="ListBullet"/>
      </w:pPr>
      <w:r w:rsidRPr="004C7FB7">
        <w:t>decorative painted finishes technology</w:t>
      </w:r>
    </w:p>
    <w:p w:rsidR="00000000" w:rsidRPr="004C7FB7" w:rsidP="004C7FB7">
      <w:pPr>
        <w:pStyle w:val="ListBullet"/>
      </w:pPr>
      <w:r w:rsidRPr="004C7FB7">
        <w:t>materials storage and environmentally sustainable waste management, including correct disposal of water-based, latex-based and solvent-based paints</w:t>
      </w:r>
    </w:p>
    <w:p w:rsidR="00000000" w:rsidRPr="004C7FB7" w:rsidP="004C7FB7">
      <w:pPr>
        <w:pStyle w:val="ListBullet"/>
      </w:pPr>
      <w:r w:rsidRPr="004C7FB7">
        <w:t>painting and decorating terminology relevant to applying advanced decorative paint finishes</w:t>
      </w:r>
    </w:p>
    <w:p w:rsidR="00000000" w:rsidRPr="004C7FB7" w:rsidP="004C7FB7">
      <w:pPr>
        <w:pStyle w:val="ListBullet"/>
      </w:pPr>
      <w:r w:rsidRPr="004C7FB7">
        <w:t xml:space="preserve">plans, drawings </w:t>
      </w:r>
      <w:r w:rsidRPr="004C7FB7">
        <w:t>and specifications relevant to applying advanced decorative paint finishes</w:t>
      </w:r>
    </w:p>
    <w:p w:rsidR="00000000" w:rsidRPr="004C7FB7" w:rsidP="004C7FB7">
      <w:pPr>
        <w:pStyle w:val="ListBullet"/>
      </w:pPr>
      <w:r w:rsidRPr="004C7FB7">
        <w:t>processes for the calculation of material requirements relevant to applying advanced decorative paint finishes</w:t>
      </w:r>
    </w:p>
    <w:p w:rsidR="00000000" w:rsidRPr="004C7FB7" w:rsidP="004C7FB7">
      <w:pPr>
        <w:pStyle w:val="ListBullet"/>
      </w:pPr>
      <w:r w:rsidRPr="004C7FB7">
        <w:t>quality requirements relevant to applying advanced decorative paint fi</w:t>
      </w:r>
      <w:r w:rsidRPr="004C7FB7">
        <w:t>nishes</w:t>
      </w:r>
    </w:p>
    <w:p w:rsidR="00000000" w:rsidRPr="004C7FB7" w:rsidP="004C7FB7">
      <w:pPr>
        <w:pStyle w:val="ListBullet"/>
      </w:pPr>
      <w:r w:rsidRPr="004C7FB7">
        <w:t>solid waste and paint sludge disposal techniques and relevant legislation, including Environmental Protection Authority (EPA) and local council regulations.</w:t>
      </w:r>
    </w:p>
    <w:p w:rsidR="00000000" w:rsidRPr="004C7FB7" w:rsidP="004C7FB7">
      <w:pPr>
        <w:pStyle w:val="AllowPageBreak"/>
      </w:pPr>
    </w:p>
    <w:p w:rsidR="00000000" w:rsidRPr="004C7FB7" w:rsidP="004C7FB7">
      <w:pPr>
        <w:pStyle w:val="Heading1"/>
      </w:pPr>
      <w:bookmarkStart w:id="4" w:name="O_1292757"/>
      <w:bookmarkEnd w:id="4"/>
      <w:r w:rsidRPr="004C7FB7">
        <w:t>Assessment Conditions</w:t>
      </w:r>
    </w:p>
    <w:p w:rsidR="00000000" w:rsidRPr="004C7FB7" w:rsidP="000C0A6B">
      <w:pPr>
        <w:pStyle w:val="BodyText"/>
      </w:pPr>
      <w:r w:rsidRPr="004C7FB7">
        <w:t>Assessors must meet the requirements for assesso</w:t>
      </w:r>
      <w:r w:rsidRPr="004C7FB7">
        <w:t xml:space="preserve">rs contained in the Standards for Registered Training Organisations. </w:t>
      </w:r>
    </w:p>
    <w:p w:rsidR="00000000" w:rsidRPr="004C7FB7" w:rsidP="000C0A6B">
      <w:pPr>
        <w:pStyle w:val="BodyText"/>
      </w:pPr>
      <w:r w:rsidRPr="004C7FB7">
        <w:t xml:space="preserve">This unit must be assessed: </w:t>
      </w:r>
    </w:p>
    <w:p w:rsidR="00000000" w:rsidRPr="004C7FB7" w:rsidP="004C7FB7">
      <w:pPr>
        <w:pStyle w:val="ListBullet"/>
      </w:pPr>
      <w:r w:rsidRPr="004C7FB7">
        <w:t>in the workplace or a close simulation of the workplace environment, provided that simulated or project-based assessment techniques replicate construction w</w:t>
      </w:r>
      <w:r w:rsidRPr="004C7FB7">
        <w:t>orkplace conditions, materials, activities, responsibilities and procedures.</w:t>
      </w:r>
    </w:p>
    <w:p w:rsidR="00000000" w:rsidRPr="004C7FB7" w:rsidP="004C7FB7">
      <w:pPr>
        <w:pStyle w:val="ListBullet"/>
      </w:pPr>
      <w:r w:rsidRPr="004C7FB7">
        <w:t>using realistic tasks or simulated tasks, relevant specifications and work instructions, standard work practices, safety requirements and environmental constraints.</w:t>
      </w:r>
    </w:p>
    <w:p w:rsidR="00000000" w:rsidRPr="004C7FB7" w:rsidP="004C7FB7">
      <w:pPr>
        <w:pStyle w:val="AllowPageBreak"/>
      </w:pPr>
    </w:p>
    <w:p w:rsidR="00000000" w:rsidRPr="004C7FB7" w:rsidP="004C7FB7">
      <w:pPr>
        <w:pStyle w:val="Heading1"/>
      </w:pPr>
      <w:bookmarkStart w:id="5" w:name="O_1292770"/>
      <w:bookmarkEnd w:id="5"/>
      <w:r w:rsidRPr="004C7FB7">
        <w:t>Links</w:t>
      </w:r>
    </w:p>
    <w:p w:rsidR="00000000" w:rsidRPr="004C7FB7" w:rsidP="000C0A6B">
      <w:pPr>
        <w:pStyle w:val="BodyText"/>
      </w:pPr>
      <w:r w:rsidRPr="004C7FB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B021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C7FB7" w:rsidP="004C7FB7"/>
    <w:sectPr w:rsidSect="004C7F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F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FB7" w:rsidRPr="000C0A6B" w:rsidP="000C0A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F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A6B" w:rsidP="004C7F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0A6B" w:rsidP="004C7F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C0A6B" w:rsidP="004C7F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F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A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7FB7" w:rsidRPr="000C0A6B" w:rsidP="000C0A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F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A6B" w:rsidRPr="002D2AF8" w:rsidP="004C7F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CPCCPD3034 Apply advanced decorative paint finishes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0C0A6B" w:rsidP="004C7F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4854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CA2B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6A5E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7F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7F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7F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7F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7F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7F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7F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7F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7F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7F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7F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7FB7"/>
  </w:style>
  <w:style w:type="character" w:customStyle="1" w:styleId="Heading1Char">
    <w:name w:val="Heading 1 Char"/>
    <w:basedOn w:val="DefaultParagraphFont"/>
    <w:link w:val="Heading1"/>
    <w:rsid w:val="004C7F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7F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7F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7FB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C7FB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C7F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7F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7F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7F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7F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7F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7F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7F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7F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7F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7F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7F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7F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7F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7F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7F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7F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7F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7F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7F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7F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7F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C7FB7"/>
    <w:rPr>
      <w:b/>
      <w:spacing w:val="0"/>
    </w:rPr>
  </w:style>
  <w:style w:type="paragraph" w:customStyle="1" w:styleId="SuperTitle">
    <w:name w:val="SuperTitle"/>
    <w:basedOn w:val="Title"/>
    <w:rsid w:val="004C7F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7F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7F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C7F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7F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7F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7F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7F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7F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7F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7F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7F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7FB7"/>
    <w:rPr>
      <w:i/>
    </w:rPr>
  </w:style>
  <w:style w:type="paragraph" w:styleId="Caption">
    <w:name w:val="caption"/>
    <w:basedOn w:val="BodyText"/>
    <w:next w:val="Normal"/>
    <w:qFormat/>
    <w:rsid w:val="004C7F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7F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7F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7FB7"/>
  </w:style>
  <w:style w:type="paragraph" w:styleId="TableofFigures">
    <w:name w:val="table of figures"/>
    <w:basedOn w:val="Normal"/>
    <w:next w:val="Normal"/>
    <w:semiHidden/>
    <w:rsid w:val="004C7F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7FB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C7FB7"/>
    <w:rPr>
      <w:rFonts w:ascii="Wingdings" w:hAnsi="Wingdings"/>
    </w:rPr>
  </w:style>
  <w:style w:type="paragraph" w:customStyle="1" w:styleId="TableHeading">
    <w:name w:val="Table Heading"/>
    <w:basedOn w:val="HeadingBase"/>
    <w:rsid w:val="004C7F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7FB7"/>
    <w:rPr>
      <w:color w:val="0033CC"/>
      <w:u w:val="none"/>
    </w:rPr>
  </w:style>
  <w:style w:type="paragraph" w:customStyle="1" w:styleId="BodyTextRight">
    <w:name w:val="Body Text Right"/>
    <w:basedOn w:val="BodyText"/>
    <w:rsid w:val="004C7F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7F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7F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7F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7F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7F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7FB7"/>
    <w:rPr>
      <w:sz w:val="32"/>
    </w:rPr>
  </w:style>
  <w:style w:type="paragraph" w:customStyle="1" w:styleId="HeadingProcedure">
    <w:name w:val="Heading Procedure"/>
    <w:basedOn w:val="HeadingBase"/>
    <w:next w:val="Normal"/>
    <w:rsid w:val="004C7F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7FB7"/>
    <w:pPr>
      <w:spacing w:before="60" w:after="60"/>
    </w:pPr>
  </w:style>
  <w:style w:type="paragraph" w:styleId="ListContinue">
    <w:name w:val="List Continue"/>
    <w:basedOn w:val="List"/>
    <w:rsid w:val="004C7FB7"/>
    <w:pPr>
      <w:ind w:firstLine="0"/>
    </w:pPr>
  </w:style>
  <w:style w:type="paragraph" w:customStyle="1" w:styleId="ListNote">
    <w:name w:val="List Note"/>
    <w:basedOn w:val="List"/>
    <w:rsid w:val="004C7F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7F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7F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7FB7"/>
    <w:rPr>
      <w:rFonts w:ascii="Courier New" w:hAnsi="Courier New"/>
    </w:rPr>
  </w:style>
  <w:style w:type="paragraph" w:customStyle="1" w:styleId="NoteBullet">
    <w:name w:val="Note Bullet"/>
    <w:basedOn w:val="Note"/>
    <w:rsid w:val="004C7F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7F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7F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7F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7F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C7F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7F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7FB7"/>
    <w:rPr>
      <w:b/>
      <w:smallCaps/>
    </w:rPr>
  </w:style>
  <w:style w:type="paragraph" w:customStyle="1" w:styleId="TableListNumber">
    <w:name w:val="Table List Number"/>
    <w:basedOn w:val="ListNumber"/>
    <w:rsid w:val="004C7F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7F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7FB7"/>
    <w:pPr>
      <w:numPr>
        <w:numId w:val="9"/>
      </w:numPr>
    </w:pPr>
  </w:style>
  <w:style w:type="paragraph" w:customStyle="1" w:styleId="ListAlpha2">
    <w:name w:val="List Alpha 2"/>
    <w:basedOn w:val="List2"/>
    <w:rsid w:val="004C7FB7"/>
    <w:pPr>
      <w:numPr>
        <w:numId w:val="8"/>
      </w:numPr>
    </w:pPr>
  </w:style>
  <w:style w:type="paragraph" w:styleId="List2">
    <w:name w:val="List 2"/>
    <w:basedOn w:val="BodyText"/>
    <w:rsid w:val="004C7F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7F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7F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7F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7F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7F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C7FB7"/>
    <w:pPr>
      <w:numPr>
        <w:numId w:val="4"/>
      </w:numPr>
    </w:pPr>
  </w:style>
  <w:style w:type="paragraph" w:styleId="ListContinue2">
    <w:name w:val="List Continue 2"/>
    <w:basedOn w:val="List2"/>
    <w:rsid w:val="004C7FB7"/>
    <w:pPr>
      <w:ind w:firstLine="0"/>
    </w:pPr>
  </w:style>
  <w:style w:type="paragraph" w:styleId="ListContinue3">
    <w:name w:val="List Continue 3"/>
    <w:basedOn w:val="List3"/>
    <w:rsid w:val="004C7FB7"/>
    <w:pPr>
      <w:ind w:left="1021" w:firstLine="0"/>
    </w:pPr>
  </w:style>
  <w:style w:type="paragraph" w:styleId="ListContinue4">
    <w:name w:val="List Continue 4"/>
    <w:basedOn w:val="List4"/>
    <w:rsid w:val="004C7FB7"/>
    <w:pPr>
      <w:ind w:firstLine="0"/>
    </w:pPr>
  </w:style>
  <w:style w:type="paragraph" w:styleId="ListContinue5">
    <w:name w:val="List Continue 5"/>
    <w:basedOn w:val="List5"/>
    <w:rsid w:val="004C7FB7"/>
    <w:pPr>
      <w:ind w:firstLine="0"/>
    </w:pPr>
  </w:style>
  <w:style w:type="paragraph" w:styleId="ListNumber3">
    <w:name w:val="List Number 3"/>
    <w:basedOn w:val="List3"/>
    <w:rsid w:val="004C7FB7"/>
    <w:pPr>
      <w:numPr>
        <w:numId w:val="5"/>
      </w:numPr>
    </w:pPr>
  </w:style>
  <w:style w:type="paragraph" w:styleId="ListNumber4">
    <w:name w:val="List Number 4"/>
    <w:basedOn w:val="List4"/>
    <w:rsid w:val="004C7FB7"/>
    <w:pPr>
      <w:numPr>
        <w:numId w:val="6"/>
      </w:numPr>
    </w:pPr>
  </w:style>
  <w:style w:type="paragraph" w:styleId="ListNumber5">
    <w:name w:val="List Number 5"/>
    <w:basedOn w:val="List5"/>
    <w:rsid w:val="004C7FB7"/>
    <w:pPr>
      <w:numPr>
        <w:numId w:val="7"/>
      </w:numPr>
    </w:pPr>
  </w:style>
  <w:style w:type="paragraph" w:styleId="BlockText">
    <w:name w:val="Block Text"/>
    <w:basedOn w:val="Normal"/>
    <w:rsid w:val="004C7F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7F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7FB7"/>
    <w:rPr>
      <w:sz w:val="16"/>
      <w:vertAlign w:val="superscript"/>
    </w:rPr>
  </w:style>
  <w:style w:type="character" w:customStyle="1" w:styleId="Symbols">
    <w:name w:val="Symbols"/>
    <w:basedOn w:val="DefaultParagraphFont"/>
    <w:rsid w:val="004C7FB7"/>
    <w:rPr>
      <w:rFonts w:ascii="Symbol" w:hAnsi="Symbol"/>
    </w:rPr>
  </w:style>
  <w:style w:type="character" w:customStyle="1" w:styleId="MenuOptions">
    <w:name w:val="Menu Options"/>
    <w:basedOn w:val="DefaultParagraphFont"/>
    <w:rsid w:val="004C7F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7FB7"/>
    <w:rPr>
      <w:b/>
    </w:rPr>
  </w:style>
  <w:style w:type="character" w:customStyle="1" w:styleId="Underlined">
    <w:name w:val="Underlined"/>
    <w:basedOn w:val="DefaultParagraphFont"/>
    <w:rsid w:val="004C7FB7"/>
    <w:rPr>
      <w:u w:val="single"/>
    </w:rPr>
  </w:style>
  <w:style w:type="paragraph" w:customStyle="1" w:styleId="TableBodyTextRight">
    <w:name w:val="Table Body Text Right"/>
    <w:basedOn w:val="TableBodyText"/>
    <w:rsid w:val="004C7F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7FB7"/>
    <w:rPr>
      <w:sz w:val="18"/>
    </w:rPr>
  </w:style>
  <w:style w:type="paragraph" w:customStyle="1" w:styleId="BodySmallRight">
    <w:name w:val="Body Small Right"/>
    <w:basedOn w:val="BodyTextRight"/>
    <w:rsid w:val="004C7FB7"/>
    <w:rPr>
      <w:sz w:val="18"/>
      <w:szCs w:val="18"/>
    </w:rPr>
  </w:style>
  <w:style w:type="paragraph" w:customStyle="1" w:styleId="MarginEdition">
    <w:name w:val="Margin Edition"/>
    <w:basedOn w:val="MarginNote"/>
    <w:rsid w:val="004C7F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7FB7"/>
    <w:rPr>
      <w:sz w:val="2"/>
      <w:szCs w:val="2"/>
    </w:rPr>
  </w:style>
  <w:style w:type="character" w:customStyle="1" w:styleId="Small">
    <w:name w:val="Small"/>
    <w:basedOn w:val="DefaultParagraphFont"/>
    <w:rsid w:val="004C7FB7"/>
    <w:rPr>
      <w:sz w:val="16"/>
    </w:rPr>
  </w:style>
  <w:style w:type="paragraph" w:customStyle="1" w:styleId="WideTable">
    <w:name w:val="Wide Table"/>
    <w:basedOn w:val="Normal"/>
    <w:rsid w:val="004C7F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7FB7"/>
  </w:style>
  <w:style w:type="paragraph" w:styleId="Quote">
    <w:name w:val="Quote"/>
    <w:basedOn w:val="Heading1"/>
    <w:link w:val="QuoteChar"/>
    <w:qFormat/>
    <w:rsid w:val="004C7F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7F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7FB7"/>
    <w:pPr>
      <w:pageBreakBefore/>
    </w:pPr>
  </w:style>
  <w:style w:type="paragraph" w:customStyle="1" w:styleId="Border">
    <w:name w:val="Border"/>
    <w:basedOn w:val="Normal"/>
    <w:qFormat/>
    <w:rsid w:val="004C7F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7F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7F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7F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7F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7F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7F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7F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7F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7FB7"/>
    <w:rPr>
      <w:u w:val="single"/>
    </w:rPr>
  </w:style>
  <w:style w:type="character" w:customStyle="1" w:styleId="BoldandItalics">
    <w:name w:val="Bold and Italics"/>
    <w:qFormat/>
    <w:rsid w:val="004C7FB7"/>
    <w:rPr>
      <w:b/>
      <w:i/>
      <w:u w:val="none"/>
    </w:rPr>
  </w:style>
  <w:style w:type="paragraph" w:styleId="BalloonText">
    <w:name w:val="Balloon Text"/>
    <w:basedOn w:val="Normal"/>
    <w:link w:val="BalloonTextChar"/>
    <w:rsid w:val="004C7F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7F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7F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7F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7F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7F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7FB7"/>
    <w:pPr>
      <w:spacing w:before="0" w:after="0"/>
    </w:pPr>
  </w:style>
  <w:style w:type="paragraph" w:customStyle="1" w:styleId="BodyTextBold">
    <w:name w:val="Body Text Bold"/>
    <w:basedOn w:val="BodyText"/>
    <w:qFormat/>
    <w:rsid w:val="004C7FB7"/>
    <w:rPr>
      <w:b/>
    </w:rPr>
  </w:style>
  <w:style w:type="character" w:styleId="Hyperlink">
    <w:name w:val="Hyperlink"/>
    <w:basedOn w:val="DefaultParagraphFont"/>
    <w:uiPriority w:val="99"/>
    <w:unhideWhenUsed/>
    <w:rsid w:val="000C0A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581</Words>
  <Characters>4015</Characters>
  <Application>Microsoft Office Word</Application>
  <DocSecurity>0</DocSecurity>
  <Lines>121</Lines>
  <Paragraphs>102</Paragraphs>
  <ScaleCrop>false</ScaleCrop>
  <Company>Author-it Software Corporation Ltd.</Company>
  <LinksUpToDate>false</LinksUpToDate>
  <CharactersWithSpaces>4494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CPCCPD3034 Apply advanced decorative paint finishes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2024-12-24T01:37:00Z</dcterms:created>
  <dcterms:modified xsi:type="dcterms:W3CDTF">2024-12-24T01:37:00Z</dcterms:modified>
</cp:coreProperties>
</file>