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4C0D" w:rsidP="001F4C0D">
      <w:pPr>
        <w:pStyle w:val="Title"/>
      </w:pPr>
      <w:r>
        <w:fldChar w:fldCharType="begin"/>
      </w:r>
      <w:r>
        <w:instrText xml:space="preserve"> TITLE   \* MERGEFORMAT </w:instrText>
      </w:r>
      <w:r>
        <w:fldChar w:fldCharType="separate"/>
      </w:r>
      <w:r>
        <w:t>CPCCPD3033 Apply intumescent coatings</w:t>
      </w:r>
      <w:r>
        <w:fldChar w:fldCharType="end"/>
      </w:r>
    </w:p>
    <w:p w:rsidR="001F4C0D" w:rsidP="001F4C0D">
      <w:pPr>
        <w:pStyle w:val="Version"/>
        <w:sectPr w:rsidSect="006652A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6652A5" w:rsidP="006652A5">
      <w:pPr>
        <w:pStyle w:val="SuperHeading"/>
      </w:pPr>
      <w:r w:rsidRPr="006652A5">
        <w:t>CPCCPD3033 Apply intumescent coatings</w:t>
      </w:r>
    </w:p>
    <w:p w:rsidR="00000000" w:rsidRPr="006652A5" w:rsidP="006652A5">
      <w:pPr>
        <w:pStyle w:val="Heading1"/>
      </w:pPr>
      <w:bookmarkStart w:id="1" w:name="O_1292784"/>
      <w:bookmarkEnd w:id="1"/>
      <w:r w:rsidRPr="006652A5">
        <w:t>Modification History</w:t>
      </w:r>
    </w:p>
    <w:tbl>
      <w:tblPr>
        <w:tblW w:w="0" w:type="auto"/>
        <w:tblLayout w:type="fixed"/>
        <w:tblCellMar>
          <w:left w:w="62" w:type="dxa"/>
          <w:right w:w="62" w:type="dxa"/>
        </w:tblCellMar>
        <w:tblLook w:val="0000"/>
      </w:tblPr>
      <w:tblGrid>
        <w:gridCol w:w="1128"/>
        <w:gridCol w:w="7944"/>
      </w:tblGrid>
      <w:tr w:rsidTr="006652A5">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6652A5">
            <w:pPr>
              <w:pStyle w:val="BodyText"/>
              <w:rPr>
                <w:lang w:val="en-NZ"/>
              </w:rPr>
            </w:pPr>
            <w:r w:rsidRPr="006652A5">
              <w:t>Release 3</w:t>
            </w:r>
          </w:p>
        </w:tc>
        <w:tc>
          <w:tcPr>
            <w:tcW w:w="7944" w:type="dxa"/>
            <w:tcBorders>
              <w:top w:val="nil"/>
              <w:left w:val="nil"/>
              <w:bottom w:val="nil"/>
              <w:right w:val="nil"/>
            </w:tcBorders>
            <w:tcMar>
              <w:top w:w="0" w:type="dxa"/>
              <w:left w:w="62" w:type="dxa"/>
              <w:bottom w:w="0" w:type="dxa"/>
              <w:right w:w="62" w:type="dxa"/>
            </w:tcMar>
          </w:tcPr>
          <w:p w:rsidR="00000000" w:rsidP="006652A5">
            <w:pPr>
              <w:pStyle w:val="BodyText"/>
              <w:rPr>
                <w:lang w:val="en-NZ"/>
              </w:rPr>
            </w:pPr>
            <w:r w:rsidRPr="006652A5">
              <w:t>Updated reference to general construction induction training program.</w:t>
            </w:r>
          </w:p>
        </w:tc>
      </w:tr>
      <w:tr w:rsidTr="006652A5">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6652A5">
            <w:pPr>
              <w:pStyle w:val="BodyText"/>
              <w:rPr>
                <w:lang w:val="en-NZ"/>
              </w:rPr>
            </w:pPr>
            <w:r w:rsidRPr="006652A5">
              <w:t>Release 2</w:t>
            </w:r>
          </w:p>
        </w:tc>
        <w:tc>
          <w:tcPr>
            <w:tcW w:w="7944" w:type="dxa"/>
            <w:tcBorders>
              <w:top w:val="nil"/>
              <w:left w:val="nil"/>
              <w:bottom w:val="nil"/>
              <w:right w:val="nil"/>
            </w:tcBorders>
            <w:tcMar>
              <w:top w:w="0" w:type="dxa"/>
              <w:left w:w="62" w:type="dxa"/>
              <w:bottom w:w="0" w:type="dxa"/>
              <w:right w:w="62" w:type="dxa"/>
            </w:tcMar>
          </w:tcPr>
          <w:p w:rsidR="00000000" w:rsidRPr="006652A5" w:rsidP="006652A5">
            <w:pPr>
              <w:pStyle w:val="BodyText"/>
            </w:pPr>
            <w:r w:rsidRPr="006652A5">
              <w:t>This version first released with CPC Construction, Plumbing and Services Training Package Release 6.4.</w:t>
            </w:r>
          </w:p>
          <w:p w:rsidR="00000000" w:rsidP="006652A5">
            <w:pPr>
              <w:pStyle w:val="BodyText"/>
              <w:rPr>
                <w:lang w:val="en-NZ"/>
              </w:rPr>
            </w:pPr>
            <w:r w:rsidRPr="006652A5">
              <w:t>Correction to Training Package title in t</w:t>
            </w:r>
            <w:r w:rsidRPr="006652A5">
              <w:t>he Modification History from CPC Property Services to CPC Construction, Plumbing and Services Training Package.</w:t>
            </w:r>
          </w:p>
        </w:tc>
      </w:tr>
      <w:tr w:rsidTr="006652A5">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6652A5">
            <w:pPr>
              <w:pStyle w:val="BodyText"/>
              <w:rPr>
                <w:lang w:val="en-NZ"/>
              </w:rPr>
            </w:pPr>
            <w:r w:rsidRPr="006652A5">
              <w:t>Release 1</w:t>
            </w:r>
          </w:p>
        </w:tc>
        <w:tc>
          <w:tcPr>
            <w:tcW w:w="7944" w:type="dxa"/>
            <w:tcBorders>
              <w:top w:val="nil"/>
              <w:left w:val="nil"/>
              <w:bottom w:val="nil"/>
              <w:right w:val="nil"/>
            </w:tcBorders>
            <w:tcMar>
              <w:top w:w="0" w:type="dxa"/>
              <w:left w:w="62" w:type="dxa"/>
              <w:bottom w:w="0" w:type="dxa"/>
              <w:right w:w="62" w:type="dxa"/>
            </w:tcMar>
          </w:tcPr>
          <w:p w:rsidR="00000000" w:rsidRPr="006652A5" w:rsidP="006652A5">
            <w:pPr>
              <w:pStyle w:val="BodyText"/>
            </w:pPr>
            <w:r w:rsidRPr="006652A5">
              <w:t>This version first released with CPC Property Services Training Package Release 5.0.</w:t>
            </w:r>
          </w:p>
          <w:p w:rsidR="00000000" w:rsidRPr="006652A5" w:rsidP="006652A5">
            <w:pPr>
              <w:pStyle w:val="BodyText"/>
            </w:pPr>
            <w:r w:rsidRPr="006652A5">
              <w:t>Supersedes and is equivalent to CPCCPD3033A Appl</w:t>
            </w:r>
            <w:r w:rsidRPr="006652A5">
              <w:t>y intumescent coatings.  Updated to meet the Standards for Training Packages 2012.</w:t>
            </w:r>
          </w:p>
        </w:tc>
      </w:tr>
    </w:tbl>
    <w:p w:rsidR="00000000" w:rsidRPr="006652A5" w:rsidP="006652A5">
      <w:pPr>
        <w:pStyle w:val="BodyText"/>
      </w:pPr>
    </w:p>
    <w:p w:rsidR="00000000" w:rsidRPr="006652A5" w:rsidP="006652A5">
      <w:pPr>
        <w:pStyle w:val="AllowPageBreak"/>
      </w:pPr>
    </w:p>
    <w:p w:rsidR="00000000" w:rsidRPr="006652A5" w:rsidP="006652A5">
      <w:pPr>
        <w:pStyle w:val="Heading1"/>
      </w:pPr>
      <w:bookmarkStart w:id="2" w:name="O_1292783"/>
      <w:bookmarkEnd w:id="2"/>
      <w:r w:rsidRPr="006652A5">
        <w:t>Application</w:t>
      </w:r>
    </w:p>
    <w:p w:rsidR="00000000" w:rsidRPr="006652A5" w:rsidP="001F4C0D">
      <w:pPr>
        <w:pStyle w:val="BodyText"/>
      </w:pPr>
      <w:r w:rsidRPr="006652A5">
        <w:t>This unit of competency specifies the skills and knowledge required to apply intumescent coatings to a range of material surfaces.</w:t>
      </w:r>
    </w:p>
    <w:p w:rsidR="00000000" w:rsidRPr="006652A5" w:rsidP="001F4C0D">
      <w:pPr>
        <w:pStyle w:val="BodyText"/>
      </w:pPr>
      <w:r w:rsidRPr="006652A5">
        <w:t xml:space="preserve">The unit </w:t>
      </w:r>
      <w:r w:rsidRPr="006652A5">
        <w:t>includes preparation of the application area, application of the specialist coatings and completion of clean-up activities.</w:t>
      </w:r>
    </w:p>
    <w:p w:rsidR="00000000" w:rsidRPr="006652A5" w:rsidP="001F4C0D">
      <w:pPr>
        <w:pStyle w:val="BodyText"/>
      </w:pPr>
      <w:r w:rsidRPr="006652A5">
        <w:t>A person who has achieved this unit of competency would be expected to take responsibility for organising and completing these tasks</w:t>
      </w:r>
      <w:r w:rsidRPr="006652A5">
        <w:t xml:space="preserve"> with a high degree of self-direction.</w:t>
      </w:r>
    </w:p>
    <w:p w:rsidR="00000000" w:rsidRPr="006652A5" w:rsidP="001F4C0D">
      <w:pPr>
        <w:pStyle w:val="BodyText"/>
      </w:pPr>
      <w:r w:rsidRPr="006652A5">
        <w:t xml:space="preserve">Completion of the general construction induction training program specified by the model Code of Practice for Construction Work is required for any person who is to carry out construction work.  Achievement of </w:t>
      </w:r>
      <w:r w:rsidRPr="006652A5">
        <w:rPr>
          <w:rStyle w:val="Emphasis"/>
        </w:rPr>
        <w:t>CPCWHS1</w:t>
      </w:r>
      <w:r w:rsidRPr="006652A5">
        <w:rPr>
          <w:rStyle w:val="Emphasis"/>
        </w:rPr>
        <w:t>001</w:t>
      </w:r>
      <w:r w:rsidRPr="006652A5">
        <w:t> </w:t>
      </w:r>
      <w:r w:rsidRPr="006652A5">
        <w:rPr>
          <w:rStyle w:val="Emphasis"/>
        </w:rPr>
        <w:t>Prepare to work safely in the construction industry</w:t>
      </w:r>
      <w:r w:rsidRPr="006652A5">
        <w:t> meets this requirement.</w:t>
      </w:r>
    </w:p>
    <w:p w:rsidR="00000000" w:rsidRPr="006652A5" w:rsidP="001F4C0D">
      <w:pPr>
        <w:pStyle w:val="BodyText"/>
      </w:pPr>
      <w:r w:rsidRPr="006652A5">
        <w:t>No licensing, legislative or certification requirements apply to this unit at the time of publication.</w:t>
      </w:r>
    </w:p>
    <w:p w:rsidR="00000000" w:rsidRPr="006652A5" w:rsidP="006652A5">
      <w:pPr>
        <w:pStyle w:val="Heading1"/>
      </w:pPr>
      <w:bookmarkStart w:id="3" w:name="O_1292782"/>
      <w:bookmarkEnd w:id="3"/>
      <w:r w:rsidRPr="006652A5">
        <w:t>Pre-requisite Unit</w:t>
      </w:r>
    </w:p>
    <w:tbl>
      <w:tblPr>
        <w:tblW w:w="0" w:type="auto"/>
        <w:tblLayout w:type="fixed"/>
        <w:tblCellMar>
          <w:left w:w="62" w:type="dxa"/>
          <w:right w:w="62" w:type="dxa"/>
        </w:tblCellMar>
        <w:tblLook w:val="0000"/>
      </w:tblPr>
      <w:tblGrid>
        <w:gridCol w:w="1650"/>
        <w:gridCol w:w="7422"/>
      </w:tblGrid>
      <w:tr w:rsidTr="006652A5">
        <w:tblPrEx>
          <w:tblW w:w="0" w:type="auto"/>
          <w:tblLayout w:type="fixed"/>
          <w:tblCellMar>
            <w:left w:w="62" w:type="dxa"/>
            <w:right w:w="62" w:type="dxa"/>
          </w:tblCellMar>
          <w:tblLook w:val="0000"/>
        </w:tblPrEx>
        <w:tc>
          <w:tcPr>
            <w:tcW w:w="1650" w:type="dxa"/>
            <w:tcBorders>
              <w:top w:val="nil"/>
              <w:left w:val="nil"/>
              <w:bottom w:val="nil"/>
              <w:right w:val="nil"/>
            </w:tcBorders>
            <w:tcMar>
              <w:top w:w="0" w:type="dxa"/>
              <w:left w:w="62" w:type="dxa"/>
              <w:bottom w:w="0" w:type="dxa"/>
              <w:right w:w="62" w:type="dxa"/>
            </w:tcMar>
          </w:tcPr>
          <w:p w:rsidR="00000000" w:rsidP="006652A5">
            <w:pPr>
              <w:pStyle w:val="BodyText"/>
              <w:rPr>
                <w:lang w:val="en-NZ"/>
              </w:rPr>
            </w:pPr>
            <w:r w:rsidRPr="006652A5">
              <w:t>CPCCWHS2001</w:t>
            </w:r>
          </w:p>
        </w:tc>
        <w:tc>
          <w:tcPr>
            <w:tcW w:w="7422" w:type="dxa"/>
            <w:tcBorders>
              <w:top w:val="nil"/>
              <w:left w:val="nil"/>
              <w:bottom w:val="nil"/>
              <w:right w:val="nil"/>
            </w:tcBorders>
            <w:tcMar>
              <w:top w:w="0" w:type="dxa"/>
              <w:left w:w="62" w:type="dxa"/>
              <w:bottom w:w="0" w:type="dxa"/>
              <w:right w:w="62" w:type="dxa"/>
            </w:tcMar>
          </w:tcPr>
          <w:p w:rsidR="00000000" w:rsidRPr="006652A5" w:rsidP="006652A5">
            <w:pPr>
              <w:pStyle w:val="BodyText"/>
            </w:pPr>
            <w:r w:rsidRPr="006652A5">
              <w:t>Apply WHS requirements, policies and procedures in the construction industry</w:t>
            </w:r>
          </w:p>
        </w:tc>
      </w:tr>
    </w:tbl>
    <w:p w:rsidR="00000000" w:rsidRPr="006652A5" w:rsidP="006652A5">
      <w:pPr>
        <w:pStyle w:val="BodyText"/>
      </w:pPr>
    </w:p>
    <w:p w:rsidR="00000000" w:rsidRPr="006652A5" w:rsidP="006652A5">
      <w:pPr>
        <w:pStyle w:val="AllowPageBreak"/>
      </w:pPr>
    </w:p>
    <w:p w:rsidR="00000000" w:rsidRPr="006652A5" w:rsidP="006652A5">
      <w:pPr>
        <w:pStyle w:val="Heading1"/>
      </w:pPr>
      <w:bookmarkStart w:id="4" w:name="O_1292781"/>
      <w:bookmarkEnd w:id="4"/>
      <w:r w:rsidRPr="006652A5">
        <w:t>Unit Sector</w:t>
      </w:r>
    </w:p>
    <w:p w:rsidR="00000000" w:rsidRPr="006652A5" w:rsidP="001F4C0D">
      <w:pPr>
        <w:pStyle w:val="BodyText"/>
      </w:pPr>
      <w:r w:rsidRPr="006652A5">
        <w:t>Painting and Decorating</w:t>
      </w:r>
    </w:p>
    <w:p w:rsidR="00000000" w:rsidRPr="006652A5" w:rsidP="006652A5">
      <w:pPr>
        <w:pStyle w:val="Heading1"/>
      </w:pPr>
      <w:bookmarkStart w:id="5" w:name="O_1292780"/>
      <w:bookmarkEnd w:id="5"/>
      <w:r w:rsidRPr="006652A5">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6652A5">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6652A5">
            <w:pPr>
              <w:pStyle w:val="BodyText"/>
              <w:rPr>
                <w:lang w:val="en-NZ"/>
              </w:rPr>
            </w:pPr>
            <w:r w:rsidRPr="006652A5">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6652A5">
            <w:pPr>
              <w:pStyle w:val="BodyText"/>
              <w:rPr>
                <w:lang w:val="en-NZ"/>
              </w:rPr>
            </w:pPr>
            <w:r w:rsidRPr="006652A5">
              <w:t>Performance criteria descr</w:t>
            </w:r>
            <w:r w:rsidRPr="006652A5">
              <w:t>ibe what needs to be done to demonstrate achievement of the element.</w:t>
            </w:r>
          </w:p>
        </w:tc>
      </w:tr>
      <w:tr w:rsidTr="006652A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652A5">
            <w:pPr>
              <w:pStyle w:val="BodyText"/>
              <w:rPr>
                <w:lang w:val="en-NZ"/>
              </w:rPr>
            </w:pPr>
            <w:r w:rsidRPr="006652A5">
              <w:t>1</w:t>
            </w:r>
          </w:p>
        </w:tc>
        <w:tc>
          <w:tcPr>
            <w:tcW w:w="2357" w:type="dxa"/>
            <w:vMerge w:val="restart"/>
            <w:tcBorders>
              <w:top w:val="nil"/>
              <w:left w:val="nil"/>
              <w:bottom w:val="nil"/>
              <w:right w:val="nil"/>
            </w:tcBorders>
            <w:tcMar>
              <w:top w:w="0" w:type="dxa"/>
              <w:left w:w="62" w:type="dxa"/>
              <w:bottom w:w="0" w:type="dxa"/>
              <w:right w:w="62" w:type="dxa"/>
            </w:tcMar>
          </w:tcPr>
          <w:p w:rsidR="00000000" w:rsidP="006652A5">
            <w:pPr>
              <w:pStyle w:val="BodyText"/>
              <w:rPr>
                <w:lang w:val="en-NZ"/>
              </w:rPr>
            </w:pPr>
            <w:r w:rsidRPr="006652A5">
              <w:t>Plan and prepare.</w:t>
            </w:r>
          </w:p>
        </w:tc>
        <w:tc>
          <w:tcPr>
            <w:tcW w:w="804" w:type="dxa"/>
            <w:tcBorders>
              <w:top w:val="nil"/>
              <w:left w:val="nil"/>
              <w:bottom w:val="nil"/>
              <w:right w:val="nil"/>
            </w:tcBorders>
            <w:tcMar>
              <w:top w:w="0" w:type="dxa"/>
              <w:left w:w="62" w:type="dxa"/>
              <w:bottom w:w="0" w:type="dxa"/>
              <w:right w:w="62" w:type="dxa"/>
            </w:tcMar>
          </w:tcPr>
          <w:p w:rsidR="00000000" w:rsidP="006652A5">
            <w:pPr>
              <w:pStyle w:val="BodyText"/>
              <w:rPr>
                <w:lang w:val="en-NZ"/>
              </w:rPr>
            </w:pPr>
            <w:r w:rsidRPr="006652A5">
              <w:t>1.1</w:t>
            </w:r>
          </w:p>
        </w:tc>
        <w:tc>
          <w:tcPr>
            <w:tcW w:w="5659" w:type="dxa"/>
            <w:tcBorders>
              <w:top w:val="nil"/>
              <w:left w:val="nil"/>
              <w:bottom w:val="nil"/>
              <w:right w:val="nil"/>
            </w:tcBorders>
            <w:tcMar>
              <w:top w:w="0" w:type="dxa"/>
              <w:left w:w="62" w:type="dxa"/>
              <w:bottom w:w="0" w:type="dxa"/>
              <w:right w:w="62" w:type="dxa"/>
            </w:tcMar>
          </w:tcPr>
          <w:p w:rsidR="00000000" w:rsidP="006652A5">
            <w:pPr>
              <w:pStyle w:val="BodyText"/>
              <w:rPr>
                <w:lang w:val="en-NZ"/>
              </w:rPr>
            </w:pPr>
            <w:r w:rsidRPr="006652A5">
              <w:t>Review work instructions to apply intumescent coatings.</w:t>
            </w:r>
          </w:p>
        </w:tc>
      </w:tr>
      <w:tr w:rsidTr="006652A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652A5">
            <w:pPr>
              <w:pStyle w:val="BodyText"/>
              <w:rPr>
                <w:lang w:val="en-NZ"/>
              </w:rPr>
            </w:pPr>
            <w:r w:rsidRPr="006652A5">
              <w:t>1.2</w:t>
            </w:r>
          </w:p>
        </w:tc>
        <w:tc>
          <w:tcPr>
            <w:tcW w:w="5659" w:type="dxa"/>
            <w:tcBorders>
              <w:top w:val="nil"/>
              <w:left w:val="nil"/>
              <w:bottom w:val="nil"/>
              <w:right w:val="nil"/>
            </w:tcBorders>
            <w:tcMar>
              <w:top w:w="0" w:type="dxa"/>
              <w:left w:w="62" w:type="dxa"/>
              <w:bottom w:w="0" w:type="dxa"/>
              <w:right w:w="62" w:type="dxa"/>
            </w:tcMar>
          </w:tcPr>
          <w:p w:rsidR="00000000" w:rsidP="006652A5">
            <w:pPr>
              <w:pStyle w:val="BodyText"/>
              <w:rPr>
                <w:lang w:val="en-NZ"/>
              </w:rPr>
            </w:pPr>
            <w:r w:rsidRPr="006652A5">
              <w:t>Plan all work to meet relevant requirements of work health and safety (WHS), Commonwealth and state or territory legislation, environmental plans and obligations, manufacturers’ specifications, and workplace requirements.</w:t>
            </w:r>
          </w:p>
        </w:tc>
      </w:tr>
      <w:tr w:rsidTr="006652A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652A5">
            <w:pPr>
              <w:pStyle w:val="BodyText"/>
              <w:rPr>
                <w:lang w:val="en-NZ"/>
              </w:rPr>
            </w:pPr>
            <w:r w:rsidRPr="006652A5">
              <w:t>1.3</w:t>
            </w:r>
          </w:p>
        </w:tc>
        <w:tc>
          <w:tcPr>
            <w:tcW w:w="5659" w:type="dxa"/>
            <w:tcBorders>
              <w:top w:val="nil"/>
              <w:left w:val="nil"/>
              <w:bottom w:val="nil"/>
              <w:right w:val="nil"/>
            </w:tcBorders>
            <w:tcMar>
              <w:top w:w="0" w:type="dxa"/>
              <w:left w:w="62" w:type="dxa"/>
              <w:bottom w:w="0" w:type="dxa"/>
              <w:right w:w="62" w:type="dxa"/>
            </w:tcMar>
          </w:tcPr>
          <w:p w:rsidR="00000000" w:rsidP="006652A5">
            <w:pPr>
              <w:pStyle w:val="BodyText"/>
              <w:rPr>
                <w:lang w:val="en-NZ"/>
              </w:rPr>
            </w:pPr>
            <w:r w:rsidRPr="006652A5">
              <w:t>Select and fit personal protective equipment (PPE) as required for each task.</w:t>
            </w:r>
          </w:p>
        </w:tc>
      </w:tr>
      <w:tr w:rsidTr="006652A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652A5">
            <w:pPr>
              <w:pStyle w:val="BodyText"/>
              <w:rPr>
                <w:lang w:val="en-NZ"/>
              </w:rPr>
            </w:pPr>
            <w:r w:rsidRPr="006652A5">
              <w:t>1.4</w:t>
            </w:r>
          </w:p>
        </w:tc>
        <w:tc>
          <w:tcPr>
            <w:tcW w:w="5659" w:type="dxa"/>
            <w:tcBorders>
              <w:top w:val="nil"/>
              <w:left w:val="nil"/>
              <w:bottom w:val="nil"/>
              <w:right w:val="nil"/>
            </w:tcBorders>
            <w:tcMar>
              <w:top w:w="0" w:type="dxa"/>
              <w:left w:w="62" w:type="dxa"/>
              <w:bottom w:w="0" w:type="dxa"/>
              <w:right w:w="62" w:type="dxa"/>
            </w:tcMar>
          </w:tcPr>
          <w:p w:rsidR="00000000" w:rsidP="006652A5">
            <w:pPr>
              <w:pStyle w:val="BodyText"/>
              <w:rPr>
                <w:lang w:val="en-NZ"/>
              </w:rPr>
            </w:pPr>
            <w:r w:rsidRPr="006652A5">
              <w:t>Inspect work site, assess hazards and apply risk controls, including required signage and barricades.</w:t>
            </w:r>
          </w:p>
        </w:tc>
      </w:tr>
      <w:tr w:rsidTr="006652A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652A5">
            <w:pPr>
              <w:pStyle w:val="BodyText"/>
              <w:rPr>
                <w:lang w:val="en-NZ"/>
              </w:rPr>
            </w:pPr>
            <w:r w:rsidRPr="006652A5">
              <w:t>1.5</w:t>
            </w:r>
          </w:p>
        </w:tc>
        <w:tc>
          <w:tcPr>
            <w:tcW w:w="5659" w:type="dxa"/>
            <w:tcBorders>
              <w:top w:val="nil"/>
              <w:left w:val="nil"/>
              <w:bottom w:val="nil"/>
              <w:right w:val="nil"/>
            </w:tcBorders>
            <w:tcMar>
              <w:top w:w="0" w:type="dxa"/>
              <w:left w:w="62" w:type="dxa"/>
              <w:bottom w:w="0" w:type="dxa"/>
              <w:right w:w="62" w:type="dxa"/>
            </w:tcMar>
          </w:tcPr>
          <w:p w:rsidR="00000000" w:rsidP="006652A5">
            <w:pPr>
              <w:pStyle w:val="BodyText"/>
              <w:rPr>
                <w:lang w:val="en-NZ"/>
              </w:rPr>
            </w:pPr>
            <w:r w:rsidRPr="006652A5">
              <w:t>Identify materials appropriate to the work application, calcul</w:t>
            </w:r>
            <w:r w:rsidRPr="006652A5">
              <w:t>ate quantities and prepare, handle safely and locate ready for use.</w:t>
            </w:r>
          </w:p>
        </w:tc>
      </w:tr>
      <w:tr w:rsidTr="006652A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652A5">
            <w:pPr>
              <w:pStyle w:val="BodyText"/>
              <w:rPr>
                <w:lang w:val="en-NZ"/>
              </w:rPr>
            </w:pPr>
            <w:r w:rsidRPr="006652A5">
              <w:t>1.6</w:t>
            </w:r>
          </w:p>
        </w:tc>
        <w:tc>
          <w:tcPr>
            <w:tcW w:w="5659" w:type="dxa"/>
            <w:tcBorders>
              <w:top w:val="nil"/>
              <w:left w:val="nil"/>
              <w:bottom w:val="nil"/>
              <w:right w:val="nil"/>
            </w:tcBorders>
            <w:tcMar>
              <w:top w:w="0" w:type="dxa"/>
              <w:left w:w="62" w:type="dxa"/>
              <w:bottom w:w="0" w:type="dxa"/>
              <w:right w:w="62" w:type="dxa"/>
            </w:tcMar>
          </w:tcPr>
          <w:p w:rsidR="00000000" w:rsidP="006652A5">
            <w:pPr>
              <w:pStyle w:val="BodyText"/>
              <w:rPr>
                <w:lang w:val="en-NZ"/>
              </w:rPr>
            </w:pPr>
            <w:r w:rsidRPr="006652A5">
              <w:t>Select tools and equipment, check for serviceability and rectify and report any faults.</w:t>
            </w:r>
          </w:p>
        </w:tc>
      </w:tr>
      <w:tr w:rsidTr="006652A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652A5">
            <w:pPr>
              <w:pStyle w:val="BodyText"/>
              <w:rPr>
                <w:lang w:val="en-NZ"/>
              </w:rPr>
            </w:pPr>
          </w:p>
        </w:tc>
      </w:tr>
      <w:tr w:rsidTr="006652A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652A5">
            <w:pPr>
              <w:pStyle w:val="BodyText"/>
              <w:rPr>
                <w:lang w:val="en-NZ"/>
              </w:rPr>
            </w:pPr>
            <w:r w:rsidRPr="006652A5">
              <w:t>2</w:t>
            </w:r>
          </w:p>
        </w:tc>
        <w:tc>
          <w:tcPr>
            <w:tcW w:w="2357" w:type="dxa"/>
            <w:vMerge w:val="restart"/>
            <w:tcBorders>
              <w:top w:val="nil"/>
              <w:left w:val="nil"/>
              <w:bottom w:val="nil"/>
              <w:right w:val="nil"/>
            </w:tcBorders>
            <w:tcMar>
              <w:top w:w="0" w:type="dxa"/>
              <w:left w:w="62" w:type="dxa"/>
              <w:bottom w:w="0" w:type="dxa"/>
              <w:right w:w="62" w:type="dxa"/>
            </w:tcMar>
          </w:tcPr>
          <w:p w:rsidR="00000000" w:rsidP="006652A5">
            <w:pPr>
              <w:pStyle w:val="BodyText"/>
              <w:rPr>
                <w:lang w:val="en-NZ"/>
              </w:rPr>
            </w:pPr>
            <w:r w:rsidRPr="006652A5">
              <w:t>Prepare work area and surfaces.</w:t>
            </w:r>
          </w:p>
        </w:tc>
        <w:tc>
          <w:tcPr>
            <w:tcW w:w="804" w:type="dxa"/>
            <w:tcBorders>
              <w:top w:val="nil"/>
              <w:left w:val="nil"/>
              <w:bottom w:val="nil"/>
              <w:right w:val="nil"/>
            </w:tcBorders>
            <w:tcMar>
              <w:top w:w="0" w:type="dxa"/>
              <w:left w:w="62" w:type="dxa"/>
              <w:bottom w:w="0" w:type="dxa"/>
              <w:right w:w="62" w:type="dxa"/>
            </w:tcMar>
          </w:tcPr>
          <w:p w:rsidR="00000000" w:rsidP="006652A5">
            <w:pPr>
              <w:pStyle w:val="BodyText"/>
              <w:rPr>
                <w:lang w:val="en-NZ"/>
              </w:rPr>
            </w:pPr>
            <w:r w:rsidRPr="006652A5">
              <w:t>2.1</w:t>
            </w:r>
          </w:p>
        </w:tc>
        <w:tc>
          <w:tcPr>
            <w:tcW w:w="5659" w:type="dxa"/>
            <w:tcBorders>
              <w:top w:val="nil"/>
              <w:left w:val="nil"/>
              <w:bottom w:val="nil"/>
              <w:right w:val="nil"/>
            </w:tcBorders>
            <w:tcMar>
              <w:top w:w="0" w:type="dxa"/>
              <w:left w:w="62" w:type="dxa"/>
              <w:bottom w:w="0" w:type="dxa"/>
              <w:right w:w="62" w:type="dxa"/>
            </w:tcMar>
          </w:tcPr>
          <w:p w:rsidR="00000000" w:rsidP="006652A5">
            <w:pPr>
              <w:pStyle w:val="BodyText"/>
              <w:rPr>
                <w:lang w:val="en-NZ"/>
              </w:rPr>
            </w:pPr>
            <w:r w:rsidRPr="006652A5">
              <w:t>Set-up area for application processes to suit surfaces to be coated.</w:t>
            </w:r>
          </w:p>
        </w:tc>
      </w:tr>
      <w:tr w:rsidTr="006652A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652A5">
            <w:pPr>
              <w:pStyle w:val="BodyText"/>
              <w:rPr>
                <w:lang w:val="en-NZ"/>
              </w:rPr>
            </w:pPr>
            <w:r w:rsidRPr="006652A5">
              <w:t>2.2</w:t>
            </w:r>
          </w:p>
        </w:tc>
        <w:tc>
          <w:tcPr>
            <w:tcW w:w="5659" w:type="dxa"/>
            <w:tcBorders>
              <w:top w:val="nil"/>
              <w:left w:val="nil"/>
              <w:bottom w:val="nil"/>
              <w:right w:val="nil"/>
            </w:tcBorders>
            <w:tcMar>
              <w:top w:w="0" w:type="dxa"/>
              <w:left w:w="62" w:type="dxa"/>
              <w:bottom w:w="0" w:type="dxa"/>
              <w:right w:w="62" w:type="dxa"/>
            </w:tcMar>
          </w:tcPr>
          <w:p w:rsidR="00000000" w:rsidP="006652A5">
            <w:pPr>
              <w:pStyle w:val="BodyText"/>
              <w:rPr>
                <w:lang w:val="en-NZ"/>
              </w:rPr>
            </w:pPr>
            <w:r w:rsidRPr="006652A5">
              <w:t>Protect surrounding surfaces with drop sheets, masking or removal of objects.</w:t>
            </w:r>
          </w:p>
        </w:tc>
      </w:tr>
      <w:tr w:rsidTr="006652A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652A5">
            <w:pPr>
              <w:pStyle w:val="BodyText"/>
              <w:rPr>
                <w:lang w:val="en-NZ"/>
              </w:rPr>
            </w:pPr>
            <w:r w:rsidRPr="006652A5">
              <w:t>2.3</w:t>
            </w:r>
          </w:p>
        </w:tc>
        <w:tc>
          <w:tcPr>
            <w:tcW w:w="5659" w:type="dxa"/>
            <w:tcBorders>
              <w:top w:val="nil"/>
              <w:left w:val="nil"/>
              <w:bottom w:val="nil"/>
              <w:right w:val="nil"/>
            </w:tcBorders>
            <w:tcMar>
              <w:top w:w="0" w:type="dxa"/>
              <w:left w:w="62" w:type="dxa"/>
              <w:bottom w:w="0" w:type="dxa"/>
              <w:right w:w="62" w:type="dxa"/>
            </w:tcMar>
          </w:tcPr>
          <w:p w:rsidR="00000000" w:rsidP="006652A5">
            <w:pPr>
              <w:pStyle w:val="BodyText"/>
              <w:rPr>
                <w:lang w:val="en-NZ"/>
              </w:rPr>
            </w:pPr>
            <w:r w:rsidRPr="006652A5">
              <w:t>Check that where doors, windows and associated furniture are removed they are safely stacked, stored and protected.</w:t>
            </w:r>
          </w:p>
        </w:tc>
      </w:tr>
      <w:tr w:rsidTr="006652A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652A5">
            <w:pPr>
              <w:pStyle w:val="BodyText"/>
              <w:rPr>
                <w:lang w:val="en-NZ"/>
              </w:rPr>
            </w:pPr>
            <w:r w:rsidRPr="006652A5">
              <w:t>2.4</w:t>
            </w:r>
          </w:p>
        </w:tc>
        <w:tc>
          <w:tcPr>
            <w:tcW w:w="5659" w:type="dxa"/>
            <w:tcBorders>
              <w:top w:val="nil"/>
              <w:left w:val="nil"/>
              <w:bottom w:val="nil"/>
              <w:right w:val="nil"/>
            </w:tcBorders>
            <w:tcMar>
              <w:top w:w="0" w:type="dxa"/>
              <w:left w:w="62" w:type="dxa"/>
              <w:bottom w:w="0" w:type="dxa"/>
              <w:right w:w="62" w:type="dxa"/>
            </w:tcMar>
          </w:tcPr>
          <w:p w:rsidR="00000000" w:rsidP="006652A5">
            <w:pPr>
              <w:pStyle w:val="BodyText"/>
              <w:rPr>
                <w:lang w:val="en-NZ"/>
              </w:rPr>
            </w:pPr>
            <w:r w:rsidRPr="006652A5">
              <w:t>Check work site to ensure provision of adequate ventilation and implementation of precautions to prevent fire and explosion.</w:t>
            </w:r>
          </w:p>
        </w:tc>
      </w:tr>
      <w:tr w:rsidTr="006652A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652A5">
            <w:pPr>
              <w:pStyle w:val="BodyText"/>
              <w:rPr>
                <w:lang w:val="en-NZ"/>
              </w:rPr>
            </w:pPr>
            <w:r w:rsidRPr="006652A5">
              <w:t>2.5</w:t>
            </w:r>
          </w:p>
        </w:tc>
        <w:tc>
          <w:tcPr>
            <w:tcW w:w="5659" w:type="dxa"/>
            <w:tcBorders>
              <w:top w:val="nil"/>
              <w:left w:val="nil"/>
              <w:bottom w:val="nil"/>
              <w:right w:val="nil"/>
            </w:tcBorders>
            <w:tcMar>
              <w:top w:w="0" w:type="dxa"/>
              <w:left w:w="62" w:type="dxa"/>
              <w:bottom w:w="0" w:type="dxa"/>
              <w:right w:w="62" w:type="dxa"/>
            </w:tcMar>
          </w:tcPr>
          <w:p w:rsidR="00000000" w:rsidP="006652A5">
            <w:pPr>
              <w:pStyle w:val="BodyText"/>
              <w:rPr>
                <w:lang w:val="en-NZ"/>
              </w:rPr>
            </w:pPr>
            <w:r w:rsidRPr="006652A5">
              <w:t>I</w:t>
            </w:r>
            <w:r w:rsidRPr="006652A5">
              <w:t>mplement measures to ensure application area remains free of dust and foreign matter.</w:t>
            </w:r>
          </w:p>
        </w:tc>
      </w:tr>
      <w:tr w:rsidTr="006652A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652A5">
            <w:pPr>
              <w:pStyle w:val="BodyText"/>
              <w:rPr>
                <w:lang w:val="en-NZ"/>
              </w:rPr>
            </w:pPr>
            <w:r w:rsidRPr="006652A5">
              <w:t>2.6</w:t>
            </w:r>
          </w:p>
        </w:tc>
        <w:tc>
          <w:tcPr>
            <w:tcW w:w="5659" w:type="dxa"/>
            <w:tcBorders>
              <w:top w:val="nil"/>
              <w:left w:val="nil"/>
              <w:bottom w:val="nil"/>
              <w:right w:val="nil"/>
            </w:tcBorders>
            <w:tcMar>
              <w:top w:w="0" w:type="dxa"/>
              <w:left w:w="62" w:type="dxa"/>
              <w:bottom w:w="0" w:type="dxa"/>
              <w:right w:w="62" w:type="dxa"/>
            </w:tcMar>
          </w:tcPr>
          <w:p w:rsidR="00000000" w:rsidP="006652A5">
            <w:pPr>
              <w:pStyle w:val="BodyText"/>
              <w:rPr>
                <w:lang w:val="en-NZ"/>
              </w:rPr>
            </w:pPr>
            <w:r w:rsidRPr="006652A5">
              <w:t>Check surface to be coated for sufficient clearance for the expansion of the coating in the case of a fire.</w:t>
            </w:r>
          </w:p>
        </w:tc>
      </w:tr>
      <w:tr w:rsidTr="006652A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652A5">
            <w:pPr>
              <w:pStyle w:val="BodyText"/>
              <w:rPr>
                <w:lang w:val="en-NZ"/>
              </w:rPr>
            </w:pPr>
            <w:r w:rsidRPr="006652A5">
              <w:t>2.7</w:t>
            </w:r>
          </w:p>
        </w:tc>
        <w:tc>
          <w:tcPr>
            <w:tcW w:w="5659" w:type="dxa"/>
            <w:tcBorders>
              <w:top w:val="nil"/>
              <w:left w:val="nil"/>
              <w:bottom w:val="nil"/>
              <w:right w:val="nil"/>
            </w:tcBorders>
            <w:tcMar>
              <w:top w:w="0" w:type="dxa"/>
              <w:left w:w="62" w:type="dxa"/>
              <w:bottom w:w="0" w:type="dxa"/>
              <w:right w:w="62" w:type="dxa"/>
            </w:tcMar>
          </w:tcPr>
          <w:p w:rsidR="00000000" w:rsidP="006652A5">
            <w:pPr>
              <w:pStyle w:val="BodyText"/>
              <w:rPr>
                <w:lang w:val="en-NZ"/>
              </w:rPr>
            </w:pPr>
            <w:r w:rsidRPr="006652A5">
              <w:t>Strip surface completely of any pre-existing finish.</w:t>
            </w:r>
          </w:p>
        </w:tc>
      </w:tr>
      <w:tr w:rsidTr="006652A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652A5">
            <w:pPr>
              <w:pStyle w:val="BodyText"/>
              <w:rPr>
                <w:lang w:val="en-NZ"/>
              </w:rPr>
            </w:pPr>
          </w:p>
        </w:tc>
      </w:tr>
      <w:tr w:rsidTr="006652A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652A5">
            <w:pPr>
              <w:pStyle w:val="BodyText"/>
              <w:rPr>
                <w:lang w:val="en-NZ"/>
              </w:rPr>
            </w:pPr>
            <w:r w:rsidRPr="006652A5">
              <w:t>3</w:t>
            </w:r>
          </w:p>
        </w:tc>
        <w:tc>
          <w:tcPr>
            <w:tcW w:w="2357" w:type="dxa"/>
            <w:vMerge w:val="restart"/>
            <w:tcBorders>
              <w:top w:val="nil"/>
              <w:left w:val="nil"/>
              <w:bottom w:val="nil"/>
              <w:right w:val="nil"/>
            </w:tcBorders>
            <w:tcMar>
              <w:top w:w="0" w:type="dxa"/>
              <w:left w:w="62" w:type="dxa"/>
              <w:bottom w:w="0" w:type="dxa"/>
              <w:right w:w="62" w:type="dxa"/>
            </w:tcMar>
          </w:tcPr>
          <w:p w:rsidR="00000000" w:rsidP="006652A5">
            <w:pPr>
              <w:pStyle w:val="BodyText"/>
              <w:rPr>
                <w:lang w:val="en-NZ"/>
              </w:rPr>
            </w:pPr>
            <w:r w:rsidRPr="006652A5">
              <w:t>Apply priming and intumescent coatings to timber.</w:t>
            </w:r>
          </w:p>
        </w:tc>
        <w:tc>
          <w:tcPr>
            <w:tcW w:w="804" w:type="dxa"/>
            <w:tcBorders>
              <w:top w:val="nil"/>
              <w:left w:val="nil"/>
              <w:bottom w:val="nil"/>
              <w:right w:val="nil"/>
            </w:tcBorders>
            <w:tcMar>
              <w:top w:w="0" w:type="dxa"/>
              <w:left w:w="62" w:type="dxa"/>
              <w:bottom w:w="0" w:type="dxa"/>
              <w:right w:w="62" w:type="dxa"/>
            </w:tcMar>
          </w:tcPr>
          <w:p w:rsidR="00000000" w:rsidP="006652A5">
            <w:pPr>
              <w:pStyle w:val="BodyText"/>
              <w:rPr>
                <w:lang w:val="en-NZ"/>
              </w:rPr>
            </w:pPr>
            <w:r w:rsidRPr="006652A5">
              <w:t>3.1</w:t>
            </w:r>
          </w:p>
        </w:tc>
        <w:tc>
          <w:tcPr>
            <w:tcW w:w="5659" w:type="dxa"/>
            <w:tcBorders>
              <w:top w:val="nil"/>
              <w:left w:val="nil"/>
              <w:bottom w:val="nil"/>
              <w:right w:val="nil"/>
            </w:tcBorders>
            <w:tcMar>
              <w:top w:w="0" w:type="dxa"/>
              <w:left w:w="62" w:type="dxa"/>
              <w:bottom w:w="0" w:type="dxa"/>
              <w:right w:w="62" w:type="dxa"/>
            </w:tcMar>
          </w:tcPr>
          <w:p w:rsidR="00000000" w:rsidP="006652A5">
            <w:pPr>
              <w:pStyle w:val="BodyText"/>
              <w:rPr>
                <w:lang w:val="en-NZ"/>
              </w:rPr>
            </w:pPr>
            <w:r w:rsidRPr="006652A5">
              <w:t>Apply priming coat to ensure adhesion of intumescent coating.</w:t>
            </w:r>
          </w:p>
        </w:tc>
      </w:tr>
      <w:tr w:rsidTr="006652A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652A5">
            <w:pPr>
              <w:pStyle w:val="BodyText"/>
              <w:rPr>
                <w:lang w:val="en-NZ"/>
              </w:rPr>
            </w:pPr>
            <w:r w:rsidRPr="006652A5">
              <w:t>3.2</w:t>
            </w:r>
          </w:p>
        </w:tc>
        <w:tc>
          <w:tcPr>
            <w:tcW w:w="5659" w:type="dxa"/>
            <w:tcBorders>
              <w:top w:val="nil"/>
              <w:left w:val="nil"/>
              <w:bottom w:val="nil"/>
              <w:right w:val="nil"/>
            </w:tcBorders>
            <w:tcMar>
              <w:top w:w="0" w:type="dxa"/>
              <w:left w:w="62" w:type="dxa"/>
              <w:bottom w:w="0" w:type="dxa"/>
              <w:right w:w="62" w:type="dxa"/>
            </w:tcMar>
          </w:tcPr>
          <w:p w:rsidR="00000000" w:rsidP="006652A5">
            <w:pPr>
              <w:pStyle w:val="BodyText"/>
              <w:rPr>
                <w:lang w:val="en-NZ"/>
              </w:rPr>
            </w:pPr>
            <w:r w:rsidRPr="006652A5">
              <w:t xml:space="preserve">Apply intumescent coating by brush, roller or airless spray, maintaining required temperature and humidity. </w:t>
            </w:r>
          </w:p>
        </w:tc>
      </w:tr>
      <w:tr w:rsidTr="006652A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652A5">
            <w:pPr>
              <w:pStyle w:val="BodyText"/>
              <w:rPr>
                <w:lang w:val="en-NZ"/>
              </w:rPr>
            </w:pPr>
            <w:r w:rsidRPr="006652A5">
              <w:t>3.3</w:t>
            </w:r>
          </w:p>
        </w:tc>
        <w:tc>
          <w:tcPr>
            <w:tcW w:w="5659" w:type="dxa"/>
            <w:tcBorders>
              <w:top w:val="nil"/>
              <w:left w:val="nil"/>
              <w:bottom w:val="nil"/>
              <w:right w:val="nil"/>
            </w:tcBorders>
            <w:tcMar>
              <w:top w:w="0" w:type="dxa"/>
              <w:left w:w="62" w:type="dxa"/>
              <w:bottom w:w="0" w:type="dxa"/>
              <w:right w:w="62" w:type="dxa"/>
            </w:tcMar>
          </w:tcPr>
          <w:p w:rsidR="00000000" w:rsidP="006652A5">
            <w:pPr>
              <w:pStyle w:val="BodyText"/>
              <w:rPr>
                <w:lang w:val="en-NZ"/>
              </w:rPr>
            </w:pPr>
            <w:r w:rsidRPr="006652A5">
              <w:t>Use measuring gauges to determine wet film thickness.</w:t>
            </w:r>
          </w:p>
        </w:tc>
      </w:tr>
      <w:tr w:rsidTr="006652A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652A5">
            <w:pPr>
              <w:pStyle w:val="BodyText"/>
              <w:rPr>
                <w:lang w:val="en-NZ"/>
              </w:rPr>
            </w:pPr>
            <w:r w:rsidRPr="006652A5">
              <w:t>3.4</w:t>
            </w:r>
          </w:p>
        </w:tc>
        <w:tc>
          <w:tcPr>
            <w:tcW w:w="5659" w:type="dxa"/>
            <w:tcBorders>
              <w:top w:val="nil"/>
              <w:left w:val="nil"/>
              <w:bottom w:val="nil"/>
              <w:right w:val="nil"/>
            </w:tcBorders>
            <w:tcMar>
              <w:top w:w="0" w:type="dxa"/>
              <w:left w:w="62" w:type="dxa"/>
              <w:bottom w:w="0" w:type="dxa"/>
              <w:right w:w="62" w:type="dxa"/>
            </w:tcMar>
          </w:tcPr>
          <w:p w:rsidR="00000000" w:rsidP="006652A5">
            <w:pPr>
              <w:pStyle w:val="BodyText"/>
              <w:rPr>
                <w:lang w:val="en-NZ"/>
              </w:rPr>
            </w:pPr>
            <w:r w:rsidRPr="006652A5">
              <w:t>Apply top/finish coat to manufacturers’ specifications.</w:t>
            </w:r>
          </w:p>
        </w:tc>
      </w:tr>
      <w:tr w:rsidTr="006652A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652A5">
            <w:pPr>
              <w:pStyle w:val="BodyText"/>
              <w:rPr>
                <w:lang w:val="en-NZ"/>
              </w:rPr>
            </w:pPr>
            <w:r w:rsidRPr="006652A5">
              <w:t>3.5</w:t>
            </w:r>
          </w:p>
        </w:tc>
        <w:tc>
          <w:tcPr>
            <w:tcW w:w="5659" w:type="dxa"/>
            <w:tcBorders>
              <w:top w:val="nil"/>
              <w:left w:val="nil"/>
              <w:bottom w:val="nil"/>
              <w:right w:val="nil"/>
            </w:tcBorders>
            <w:tcMar>
              <w:top w:w="0" w:type="dxa"/>
              <w:left w:w="62" w:type="dxa"/>
              <w:bottom w:w="0" w:type="dxa"/>
              <w:right w:w="62" w:type="dxa"/>
            </w:tcMar>
          </w:tcPr>
          <w:p w:rsidR="00000000" w:rsidP="006652A5">
            <w:pPr>
              <w:pStyle w:val="BodyText"/>
              <w:rPr>
                <w:lang w:val="en-NZ"/>
              </w:rPr>
            </w:pPr>
            <w:r w:rsidRPr="006652A5">
              <w:t>Protect the finish against abrasion and humidity during drying and curing.</w:t>
            </w:r>
          </w:p>
        </w:tc>
      </w:tr>
      <w:tr w:rsidTr="006652A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652A5">
            <w:pPr>
              <w:pStyle w:val="BodyText"/>
              <w:rPr>
                <w:lang w:val="en-NZ"/>
              </w:rPr>
            </w:pPr>
            <w:r w:rsidRPr="006652A5">
              <w:t>3.6</w:t>
            </w:r>
          </w:p>
        </w:tc>
        <w:tc>
          <w:tcPr>
            <w:tcW w:w="5659" w:type="dxa"/>
            <w:tcBorders>
              <w:top w:val="nil"/>
              <w:left w:val="nil"/>
              <w:bottom w:val="nil"/>
              <w:right w:val="nil"/>
            </w:tcBorders>
            <w:tcMar>
              <w:top w:w="0" w:type="dxa"/>
              <w:left w:w="62" w:type="dxa"/>
              <w:bottom w:w="0" w:type="dxa"/>
              <w:right w:w="62" w:type="dxa"/>
            </w:tcMar>
          </w:tcPr>
          <w:p w:rsidR="00000000" w:rsidP="006652A5">
            <w:pPr>
              <w:pStyle w:val="BodyText"/>
              <w:rPr>
                <w:lang w:val="en-NZ"/>
              </w:rPr>
            </w:pPr>
            <w:r w:rsidRPr="006652A5">
              <w:t>Use measuring gauges to determine dry film thickness to ensure completed coat meets manufacturer’s specifications.</w:t>
            </w:r>
          </w:p>
        </w:tc>
      </w:tr>
      <w:tr w:rsidTr="006652A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652A5">
            <w:pPr>
              <w:pStyle w:val="BodyText"/>
              <w:rPr>
                <w:lang w:val="en-NZ"/>
              </w:rPr>
            </w:pPr>
          </w:p>
        </w:tc>
      </w:tr>
      <w:tr w:rsidTr="006652A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652A5">
            <w:pPr>
              <w:pStyle w:val="BodyText"/>
              <w:rPr>
                <w:lang w:val="en-NZ"/>
              </w:rPr>
            </w:pPr>
            <w:r w:rsidRPr="006652A5">
              <w:t>4</w:t>
            </w:r>
          </w:p>
        </w:tc>
        <w:tc>
          <w:tcPr>
            <w:tcW w:w="2357" w:type="dxa"/>
            <w:vMerge w:val="restart"/>
            <w:tcBorders>
              <w:top w:val="nil"/>
              <w:left w:val="nil"/>
              <w:bottom w:val="nil"/>
              <w:right w:val="nil"/>
            </w:tcBorders>
            <w:tcMar>
              <w:top w:w="0" w:type="dxa"/>
              <w:left w:w="62" w:type="dxa"/>
              <w:bottom w:w="0" w:type="dxa"/>
              <w:right w:w="62" w:type="dxa"/>
            </w:tcMar>
          </w:tcPr>
          <w:p w:rsidR="00000000" w:rsidP="006652A5">
            <w:pPr>
              <w:pStyle w:val="BodyText"/>
              <w:rPr>
                <w:lang w:val="en-NZ"/>
              </w:rPr>
            </w:pPr>
            <w:r w:rsidRPr="006652A5">
              <w:t>Apply priming and intumescent coatings to structural metal.</w:t>
            </w:r>
          </w:p>
        </w:tc>
        <w:tc>
          <w:tcPr>
            <w:tcW w:w="804" w:type="dxa"/>
            <w:tcBorders>
              <w:top w:val="nil"/>
              <w:left w:val="nil"/>
              <w:bottom w:val="nil"/>
              <w:right w:val="nil"/>
            </w:tcBorders>
            <w:tcMar>
              <w:top w:w="0" w:type="dxa"/>
              <w:left w:w="62" w:type="dxa"/>
              <w:bottom w:w="0" w:type="dxa"/>
              <w:right w:w="62" w:type="dxa"/>
            </w:tcMar>
          </w:tcPr>
          <w:p w:rsidR="00000000" w:rsidP="006652A5">
            <w:pPr>
              <w:pStyle w:val="BodyText"/>
              <w:rPr>
                <w:lang w:val="en-NZ"/>
              </w:rPr>
            </w:pPr>
            <w:r w:rsidRPr="006652A5">
              <w:t>4.1</w:t>
            </w:r>
          </w:p>
        </w:tc>
        <w:tc>
          <w:tcPr>
            <w:tcW w:w="5659" w:type="dxa"/>
            <w:tcBorders>
              <w:top w:val="nil"/>
              <w:left w:val="nil"/>
              <w:bottom w:val="nil"/>
              <w:right w:val="nil"/>
            </w:tcBorders>
            <w:tcMar>
              <w:top w:w="0" w:type="dxa"/>
              <w:left w:w="62" w:type="dxa"/>
              <w:bottom w:w="0" w:type="dxa"/>
              <w:right w:w="62" w:type="dxa"/>
            </w:tcMar>
          </w:tcPr>
          <w:p w:rsidR="00000000" w:rsidP="006652A5">
            <w:pPr>
              <w:pStyle w:val="BodyText"/>
              <w:rPr>
                <w:lang w:val="en-NZ"/>
              </w:rPr>
            </w:pPr>
            <w:r w:rsidRPr="006652A5">
              <w:t xml:space="preserve">Blast or wire-brush metal surface to prepare for intumescent coating. </w:t>
            </w:r>
          </w:p>
        </w:tc>
      </w:tr>
      <w:tr w:rsidTr="006652A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652A5">
            <w:pPr>
              <w:pStyle w:val="BodyText"/>
              <w:rPr>
                <w:lang w:val="en-NZ"/>
              </w:rPr>
            </w:pPr>
            <w:r w:rsidRPr="006652A5">
              <w:t>4.2</w:t>
            </w:r>
          </w:p>
        </w:tc>
        <w:tc>
          <w:tcPr>
            <w:tcW w:w="5659" w:type="dxa"/>
            <w:tcBorders>
              <w:top w:val="nil"/>
              <w:left w:val="nil"/>
              <w:bottom w:val="nil"/>
              <w:right w:val="nil"/>
            </w:tcBorders>
            <w:tcMar>
              <w:top w:w="0" w:type="dxa"/>
              <w:left w:w="62" w:type="dxa"/>
              <w:bottom w:w="0" w:type="dxa"/>
              <w:right w:w="62" w:type="dxa"/>
            </w:tcMar>
          </w:tcPr>
          <w:p w:rsidR="00000000" w:rsidP="006652A5">
            <w:pPr>
              <w:pStyle w:val="BodyText"/>
              <w:rPr>
                <w:lang w:val="en-NZ"/>
              </w:rPr>
            </w:pPr>
            <w:r w:rsidRPr="006652A5">
              <w:t>De-grease galvanised steel.</w:t>
            </w:r>
          </w:p>
        </w:tc>
      </w:tr>
      <w:tr w:rsidTr="006652A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652A5">
            <w:pPr>
              <w:pStyle w:val="BodyText"/>
              <w:rPr>
                <w:lang w:val="en-NZ"/>
              </w:rPr>
            </w:pPr>
            <w:r w:rsidRPr="006652A5">
              <w:t>4.3</w:t>
            </w:r>
          </w:p>
        </w:tc>
        <w:tc>
          <w:tcPr>
            <w:tcW w:w="5659" w:type="dxa"/>
            <w:tcBorders>
              <w:top w:val="nil"/>
              <w:left w:val="nil"/>
              <w:bottom w:val="nil"/>
              <w:right w:val="nil"/>
            </w:tcBorders>
            <w:tcMar>
              <w:top w:w="0" w:type="dxa"/>
              <w:left w:w="62" w:type="dxa"/>
              <w:bottom w:w="0" w:type="dxa"/>
              <w:right w:w="62" w:type="dxa"/>
            </w:tcMar>
          </w:tcPr>
          <w:p w:rsidR="00000000" w:rsidP="006652A5">
            <w:pPr>
              <w:pStyle w:val="BodyText"/>
              <w:rPr>
                <w:lang w:val="en-NZ"/>
              </w:rPr>
            </w:pPr>
            <w:r w:rsidRPr="006652A5">
              <w:t>Measure the temperature of the surface to ensure it meets the manufacturers’</w:t>
            </w:r>
            <w:r w:rsidRPr="006652A5">
              <w:t xml:space="preserve"> specifications.</w:t>
            </w:r>
          </w:p>
        </w:tc>
      </w:tr>
      <w:tr w:rsidTr="006652A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652A5">
            <w:pPr>
              <w:pStyle w:val="BodyText"/>
              <w:rPr>
                <w:lang w:val="en-NZ"/>
              </w:rPr>
            </w:pPr>
            <w:r w:rsidRPr="006652A5">
              <w:t>4.4</w:t>
            </w:r>
          </w:p>
        </w:tc>
        <w:tc>
          <w:tcPr>
            <w:tcW w:w="5659" w:type="dxa"/>
            <w:tcBorders>
              <w:top w:val="nil"/>
              <w:left w:val="nil"/>
              <w:bottom w:val="nil"/>
              <w:right w:val="nil"/>
            </w:tcBorders>
            <w:tcMar>
              <w:top w:w="0" w:type="dxa"/>
              <w:left w:w="62" w:type="dxa"/>
              <w:bottom w:w="0" w:type="dxa"/>
              <w:right w:w="62" w:type="dxa"/>
            </w:tcMar>
          </w:tcPr>
          <w:p w:rsidR="00000000" w:rsidP="006652A5">
            <w:pPr>
              <w:pStyle w:val="BodyText"/>
              <w:rPr>
                <w:lang w:val="en-NZ"/>
              </w:rPr>
            </w:pPr>
            <w:r w:rsidRPr="006652A5">
              <w:t>Apply priming coat to ensure adhesion of coating.</w:t>
            </w:r>
          </w:p>
        </w:tc>
      </w:tr>
      <w:tr w:rsidTr="006652A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652A5">
            <w:pPr>
              <w:pStyle w:val="BodyText"/>
              <w:rPr>
                <w:lang w:val="en-NZ"/>
              </w:rPr>
            </w:pPr>
            <w:r w:rsidRPr="006652A5">
              <w:t>4.5</w:t>
            </w:r>
          </w:p>
        </w:tc>
        <w:tc>
          <w:tcPr>
            <w:tcW w:w="5659" w:type="dxa"/>
            <w:tcBorders>
              <w:top w:val="nil"/>
              <w:left w:val="nil"/>
              <w:bottom w:val="nil"/>
              <w:right w:val="nil"/>
            </w:tcBorders>
            <w:tcMar>
              <w:top w:w="0" w:type="dxa"/>
              <w:left w:w="62" w:type="dxa"/>
              <w:bottom w:w="0" w:type="dxa"/>
              <w:right w:w="62" w:type="dxa"/>
            </w:tcMar>
          </w:tcPr>
          <w:p w:rsidR="00000000" w:rsidP="006652A5">
            <w:pPr>
              <w:pStyle w:val="BodyText"/>
              <w:rPr>
                <w:lang w:val="en-NZ"/>
              </w:rPr>
            </w:pPr>
            <w:r w:rsidRPr="006652A5">
              <w:t>Apply intumescent coating by brush, roller or airless spray, maintaining required temperature and humidity.</w:t>
            </w:r>
          </w:p>
        </w:tc>
      </w:tr>
      <w:tr w:rsidTr="006652A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652A5">
            <w:pPr>
              <w:pStyle w:val="BodyText"/>
              <w:rPr>
                <w:lang w:val="en-NZ"/>
              </w:rPr>
            </w:pPr>
            <w:r w:rsidRPr="006652A5">
              <w:t>4.6</w:t>
            </w:r>
          </w:p>
        </w:tc>
        <w:tc>
          <w:tcPr>
            <w:tcW w:w="5659" w:type="dxa"/>
            <w:tcBorders>
              <w:top w:val="nil"/>
              <w:left w:val="nil"/>
              <w:bottom w:val="nil"/>
              <w:right w:val="nil"/>
            </w:tcBorders>
            <w:tcMar>
              <w:top w:w="0" w:type="dxa"/>
              <w:left w:w="62" w:type="dxa"/>
              <w:bottom w:w="0" w:type="dxa"/>
              <w:right w:w="62" w:type="dxa"/>
            </w:tcMar>
          </w:tcPr>
          <w:p w:rsidR="00000000" w:rsidP="006652A5">
            <w:pPr>
              <w:pStyle w:val="BodyText"/>
              <w:rPr>
                <w:lang w:val="en-NZ"/>
              </w:rPr>
            </w:pPr>
            <w:r w:rsidRPr="006652A5">
              <w:t>Use measuring gauges to determine wet film thickness.</w:t>
            </w:r>
          </w:p>
        </w:tc>
      </w:tr>
      <w:tr w:rsidTr="006652A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652A5">
            <w:pPr>
              <w:pStyle w:val="BodyText"/>
              <w:rPr>
                <w:lang w:val="en-NZ"/>
              </w:rPr>
            </w:pPr>
            <w:r w:rsidRPr="006652A5">
              <w:t>4.7</w:t>
            </w:r>
          </w:p>
        </w:tc>
        <w:tc>
          <w:tcPr>
            <w:tcW w:w="5659" w:type="dxa"/>
            <w:tcBorders>
              <w:top w:val="nil"/>
              <w:left w:val="nil"/>
              <w:bottom w:val="nil"/>
              <w:right w:val="nil"/>
            </w:tcBorders>
            <w:tcMar>
              <w:top w:w="0" w:type="dxa"/>
              <w:left w:w="62" w:type="dxa"/>
              <w:bottom w:w="0" w:type="dxa"/>
              <w:right w:w="62" w:type="dxa"/>
            </w:tcMar>
          </w:tcPr>
          <w:p w:rsidR="00000000" w:rsidP="006652A5">
            <w:pPr>
              <w:pStyle w:val="BodyText"/>
              <w:rPr>
                <w:lang w:val="en-NZ"/>
              </w:rPr>
            </w:pPr>
            <w:r w:rsidRPr="006652A5">
              <w:t>Apply top/finish coat to manufacturers’ specifications.</w:t>
            </w:r>
          </w:p>
        </w:tc>
      </w:tr>
      <w:tr w:rsidTr="006652A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652A5">
            <w:pPr>
              <w:pStyle w:val="BodyText"/>
              <w:rPr>
                <w:lang w:val="en-NZ"/>
              </w:rPr>
            </w:pPr>
            <w:r w:rsidRPr="006652A5">
              <w:t>4.8</w:t>
            </w:r>
          </w:p>
        </w:tc>
        <w:tc>
          <w:tcPr>
            <w:tcW w:w="5659" w:type="dxa"/>
            <w:tcBorders>
              <w:top w:val="nil"/>
              <w:left w:val="nil"/>
              <w:bottom w:val="nil"/>
              <w:right w:val="nil"/>
            </w:tcBorders>
            <w:tcMar>
              <w:top w:w="0" w:type="dxa"/>
              <w:left w:w="62" w:type="dxa"/>
              <w:bottom w:w="0" w:type="dxa"/>
              <w:right w:w="62" w:type="dxa"/>
            </w:tcMar>
          </w:tcPr>
          <w:p w:rsidR="00000000" w:rsidP="006652A5">
            <w:pPr>
              <w:pStyle w:val="BodyText"/>
              <w:rPr>
                <w:lang w:val="en-NZ"/>
              </w:rPr>
            </w:pPr>
            <w:r w:rsidRPr="006652A5">
              <w:t>Protect the finish against abrasion and humidity during drying and curing.</w:t>
            </w:r>
          </w:p>
        </w:tc>
      </w:tr>
      <w:tr w:rsidTr="006652A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652A5">
            <w:pPr>
              <w:pStyle w:val="BodyText"/>
              <w:rPr>
                <w:lang w:val="en-NZ"/>
              </w:rPr>
            </w:pPr>
            <w:r w:rsidRPr="006652A5">
              <w:t>4.9</w:t>
            </w:r>
          </w:p>
        </w:tc>
        <w:tc>
          <w:tcPr>
            <w:tcW w:w="5659" w:type="dxa"/>
            <w:tcBorders>
              <w:top w:val="nil"/>
              <w:left w:val="nil"/>
              <w:bottom w:val="nil"/>
              <w:right w:val="nil"/>
            </w:tcBorders>
            <w:tcMar>
              <w:top w:w="0" w:type="dxa"/>
              <w:left w:w="62" w:type="dxa"/>
              <w:bottom w:w="0" w:type="dxa"/>
              <w:right w:w="62" w:type="dxa"/>
            </w:tcMar>
          </w:tcPr>
          <w:p w:rsidR="00000000" w:rsidP="006652A5">
            <w:pPr>
              <w:pStyle w:val="BodyText"/>
              <w:rPr>
                <w:lang w:val="en-NZ"/>
              </w:rPr>
            </w:pPr>
            <w:r w:rsidRPr="006652A5">
              <w:t>Use measuring gauges to determine dry film thickness to ensure completed coat meets manufacturers’ specificati</w:t>
            </w:r>
            <w:r w:rsidRPr="006652A5">
              <w:t>ons.</w:t>
            </w:r>
          </w:p>
        </w:tc>
      </w:tr>
      <w:tr w:rsidTr="006652A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652A5">
            <w:pPr>
              <w:pStyle w:val="BodyText"/>
              <w:rPr>
                <w:lang w:val="en-NZ"/>
              </w:rPr>
            </w:pPr>
          </w:p>
        </w:tc>
      </w:tr>
      <w:tr w:rsidTr="006652A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652A5">
            <w:pPr>
              <w:pStyle w:val="BodyText"/>
              <w:rPr>
                <w:lang w:val="en-NZ"/>
              </w:rPr>
            </w:pPr>
            <w:r w:rsidRPr="006652A5">
              <w:t>5</w:t>
            </w:r>
          </w:p>
        </w:tc>
        <w:tc>
          <w:tcPr>
            <w:tcW w:w="2357" w:type="dxa"/>
            <w:vMerge w:val="restart"/>
            <w:tcBorders>
              <w:top w:val="nil"/>
              <w:left w:val="nil"/>
              <w:bottom w:val="nil"/>
              <w:right w:val="nil"/>
            </w:tcBorders>
            <w:tcMar>
              <w:top w:w="0" w:type="dxa"/>
              <w:left w:w="62" w:type="dxa"/>
              <w:bottom w:w="0" w:type="dxa"/>
              <w:right w:w="62" w:type="dxa"/>
            </w:tcMar>
          </w:tcPr>
          <w:p w:rsidR="00000000" w:rsidP="006652A5">
            <w:pPr>
              <w:pStyle w:val="BodyText"/>
              <w:rPr>
                <w:lang w:val="en-NZ"/>
              </w:rPr>
            </w:pPr>
            <w:r w:rsidRPr="006652A5">
              <w:t>Clean up.</w:t>
            </w:r>
          </w:p>
        </w:tc>
        <w:tc>
          <w:tcPr>
            <w:tcW w:w="804" w:type="dxa"/>
            <w:tcBorders>
              <w:top w:val="nil"/>
              <w:left w:val="nil"/>
              <w:bottom w:val="nil"/>
              <w:right w:val="nil"/>
            </w:tcBorders>
            <w:tcMar>
              <w:top w:w="0" w:type="dxa"/>
              <w:left w:w="62" w:type="dxa"/>
              <w:bottom w:w="0" w:type="dxa"/>
              <w:right w:w="62" w:type="dxa"/>
            </w:tcMar>
          </w:tcPr>
          <w:p w:rsidR="00000000" w:rsidP="006652A5">
            <w:pPr>
              <w:pStyle w:val="BodyText"/>
              <w:rPr>
                <w:lang w:val="en-NZ"/>
              </w:rPr>
            </w:pPr>
            <w:r w:rsidRPr="006652A5">
              <w:t>5.1</w:t>
            </w:r>
          </w:p>
        </w:tc>
        <w:tc>
          <w:tcPr>
            <w:tcW w:w="5659" w:type="dxa"/>
            <w:tcBorders>
              <w:top w:val="nil"/>
              <w:left w:val="nil"/>
              <w:bottom w:val="nil"/>
              <w:right w:val="nil"/>
            </w:tcBorders>
            <w:tcMar>
              <w:top w:w="0" w:type="dxa"/>
              <w:left w:w="62" w:type="dxa"/>
              <w:bottom w:w="0" w:type="dxa"/>
              <w:right w:w="62" w:type="dxa"/>
            </w:tcMar>
          </w:tcPr>
          <w:p w:rsidR="00000000" w:rsidP="006652A5">
            <w:pPr>
              <w:pStyle w:val="BodyText"/>
              <w:rPr>
                <w:lang w:val="en-NZ"/>
              </w:rPr>
            </w:pPr>
            <w:r w:rsidRPr="006652A5">
              <w:t>Clean up, meeting all legislative and workplace requirements for safety, waste disposal, materials handling and protection of the environment.</w:t>
            </w:r>
          </w:p>
        </w:tc>
      </w:tr>
      <w:tr w:rsidTr="006652A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652A5">
            <w:pPr>
              <w:pStyle w:val="BodyText"/>
              <w:rPr>
                <w:lang w:val="en-NZ"/>
              </w:rPr>
            </w:pPr>
            <w:r w:rsidRPr="006652A5">
              <w:t>5.2</w:t>
            </w:r>
          </w:p>
        </w:tc>
        <w:tc>
          <w:tcPr>
            <w:tcW w:w="5659" w:type="dxa"/>
            <w:tcBorders>
              <w:top w:val="nil"/>
              <w:left w:val="nil"/>
              <w:bottom w:val="nil"/>
              <w:right w:val="nil"/>
            </w:tcBorders>
            <w:tcMar>
              <w:top w:w="0" w:type="dxa"/>
              <w:left w:w="62" w:type="dxa"/>
              <w:bottom w:w="0" w:type="dxa"/>
              <w:right w:w="62" w:type="dxa"/>
            </w:tcMar>
          </w:tcPr>
          <w:p w:rsidR="00000000" w:rsidP="006652A5">
            <w:pPr>
              <w:pStyle w:val="BodyText"/>
              <w:rPr>
                <w:lang w:val="en-NZ"/>
              </w:rPr>
            </w:pPr>
            <w:r w:rsidRPr="006652A5">
              <w:t>Clear work area, reuse or recycle materials and place waste and unwanted materials into job waste bins or rubbish stockpile.</w:t>
            </w:r>
          </w:p>
        </w:tc>
      </w:tr>
      <w:tr w:rsidTr="006652A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652A5">
            <w:pPr>
              <w:pStyle w:val="BodyText"/>
              <w:rPr>
                <w:lang w:val="en-NZ"/>
              </w:rPr>
            </w:pPr>
            <w:r w:rsidRPr="006652A5">
              <w:t>5.3</w:t>
            </w:r>
          </w:p>
        </w:tc>
        <w:tc>
          <w:tcPr>
            <w:tcW w:w="5659" w:type="dxa"/>
            <w:tcBorders>
              <w:top w:val="nil"/>
              <w:left w:val="nil"/>
              <w:bottom w:val="nil"/>
              <w:right w:val="nil"/>
            </w:tcBorders>
            <w:tcMar>
              <w:top w:w="0" w:type="dxa"/>
              <w:left w:w="62" w:type="dxa"/>
              <w:bottom w:w="0" w:type="dxa"/>
              <w:right w:w="62" w:type="dxa"/>
            </w:tcMar>
          </w:tcPr>
          <w:p w:rsidR="00000000" w:rsidP="006652A5">
            <w:pPr>
              <w:pStyle w:val="BodyText"/>
              <w:rPr>
                <w:lang w:val="en-NZ"/>
              </w:rPr>
            </w:pPr>
            <w:r w:rsidRPr="006652A5">
              <w:t>Check and maintain tools and equipment and clean with appropriate solvents.</w:t>
            </w:r>
          </w:p>
        </w:tc>
      </w:tr>
      <w:tr w:rsidTr="006652A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652A5">
            <w:pPr>
              <w:pStyle w:val="BodyText"/>
              <w:rPr>
                <w:lang w:val="en-NZ"/>
              </w:rPr>
            </w:pPr>
            <w:r w:rsidRPr="006652A5">
              <w:t>5.4</w:t>
            </w:r>
          </w:p>
        </w:tc>
        <w:tc>
          <w:tcPr>
            <w:tcW w:w="5659" w:type="dxa"/>
            <w:tcBorders>
              <w:top w:val="nil"/>
              <w:left w:val="nil"/>
              <w:bottom w:val="nil"/>
              <w:right w:val="nil"/>
            </w:tcBorders>
            <w:tcMar>
              <w:top w:w="0" w:type="dxa"/>
              <w:left w:w="62" w:type="dxa"/>
              <w:bottom w:w="0" w:type="dxa"/>
              <w:right w:w="62" w:type="dxa"/>
            </w:tcMar>
          </w:tcPr>
          <w:p w:rsidR="00000000" w:rsidP="006652A5">
            <w:pPr>
              <w:pStyle w:val="BodyText"/>
              <w:rPr>
                <w:lang w:val="en-NZ"/>
              </w:rPr>
            </w:pPr>
            <w:r w:rsidRPr="006652A5">
              <w:t>Dispose of paint waste and water and solvents used in cleaning tools and equipment in an environmentally sustainable manner.</w:t>
            </w:r>
          </w:p>
        </w:tc>
      </w:tr>
      <w:tr w:rsidTr="006652A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652A5">
            <w:pPr>
              <w:pStyle w:val="BodyText"/>
              <w:rPr>
                <w:lang w:val="en-NZ"/>
              </w:rPr>
            </w:pPr>
            <w:r w:rsidRPr="006652A5">
              <w:t>5.5</w:t>
            </w:r>
          </w:p>
        </w:tc>
        <w:tc>
          <w:tcPr>
            <w:tcW w:w="5659" w:type="dxa"/>
            <w:tcBorders>
              <w:top w:val="nil"/>
              <w:left w:val="nil"/>
              <w:bottom w:val="nil"/>
              <w:right w:val="nil"/>
            </w:tcBorders>
            <w:tcMar>
              <w:top w:w="0" w:type="dxa"/>
              <w:left w:w="62" w:type="dxa"/>
              <w:bottom w:w="0" w:type="dxa"/>
              <w:right w:w="62" w:type="dxa"/>
            </w:tcMar>
          </w:tcPr>
          <w:p w:rsidR="00000000" w:rsidRPr="006652A5" w:rsidP="006652A5">
            <w:pPr>
              <w:pStyle w:val="BodyText"/>
            </w:pPr>
            <w:r w:rsidRPr="006652A5">
              <w:t>Store tools, equipment and sealed unused materials to avoid spontaneous ignition.</w:t>
            </w:r>
          </w:p>
        </w:tc>
      </w:tr>
    </w:tbl>
    <w:p w:rsidR="00000000" w:rsidRPr="006652A5" w:rsidP="006652A5">
      <w:pPr>
        <w:pStyle w:val="BodyText"/>
      </w:pPr>
    </w:p>
    <w:p w:rsidR="00000000" w:rsidRPr="006652A5" w:rsidP="006652A5">
      <w:pPr>
        <w:pStyle w:val="AllowPageBreak"/>
      </w:pPr>
    </w:p>
    <w:p w:rsidR="00000000" w:rsidRPr="006652A5" w:rsidP="006652A5">
      <w:pPr>
        <w:pStyle w:val="Heading1"/>
      </w:pPr>
      <w:bookmarkStart w:id="6" w:name="O_1292779"/>
      <w:bookmarkEnd w:id="6"/>
      <w:r w:rsidRPr="006652A5">
        <w:t>Foundation Skills</w:t>
      </w:r>
    </w:p>
    <w:p w:rsidR="00000000" w:rsidRPr="006652A5" w:rsidP="001F4C0D">
      <w:pPr>
        <w:pStyle w:val="BodyText"/>
      </w:pPr>
      <w:r w:rsidRPr="006652A5">
        <w:t>Fou</w:t>
      </w:r>
      <w:r w:rsidRPr="006652A5">
        <w:t xml:space="preserve">ndation skills essential to performance are explicit in the performance criteria of this unit of competency. </w:t>
      </w:r>
    </w:p>
    <w:p w:rsidR="00000000" w:rsidRPr="006652A5" w:rsidP="006652A5">
      <w:pPr>
        <w:pStyle w:val="Heading1"/>
      </w:pPr>
      <w:bookmarkStart w:id="7" w:name="O_1292778"/>
      <w:bookmarkEnd w:id="7"/>
      <w:r w:rsidRPr="006652A5">
        <w:t>Unit Mapping Information</w:t>
      </w:r>
    </w:p>
    <w:p w:rsidR="00000000" w:rsidRPr="006652A5" w:rsidP="001F4C0D">
      <w:pPr>
        <w:pStyle w:val="BodyText"/>
      </w:pPr>
      <w:r w:rsidRPr="006652A5">
        <w:t>Supersedes and equivalent to CPCCPD3033A Apply intumescent coatings.</w:t>
      </w:r>
    </w:p>
    <w:p w:rsidR="00000000" w:rsidRPr="006652A5" w:rsidP="006652A5">
      <w:pPr>
        <w:pStyle w:val="Heading1"/>
      </w:pPr>
      <w:bookmarkStart w:id="8" w:name="O_1292785"/>
      <w:bookmarkEnd w:id="8"/>
      <w:r w:rsidRPr="006652A5">
        <w:t>Links</w:t>
      </w:r>
    </w:p>
    <w:p w:rsidR="00000000" w:rsidRPr="006652A5" w:rsidP="001F4C0D">
      <w:pPr>
        <w:pStyle w:val="BodyText"/>
      </w:pPr>
      <w:r w:rsidRPr="006652A5">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BD2905">
        <w:rPr>
          <w:rStyle w:val="Hyperlink"/>
        </w:rPr>
        <w:t>https://vetnet.gov.au/Pages/TrainingDocs.aspx?q=7e15fa6a-68b8-4097-b099-030a5569b1ad</w:t>
      </w:r>
      <w:r>
        <w:fldChar w:fldCharType="end"/>
      </w:r>
    </w:p>
    <w:p w:rsidR="00000000" w:rsidRPr="006652A5" w:rsidP="001F4C0D">
      <w:pPr>
        <w:pStyle w:val="BodyText"/>
        <w:sectPr w:rsidSect="006652A5">
          <w:headerReference w:type="default" r:id="rId10"/>
          <w:footerReference w:type="default" r:id="rId11"/>
          <w:pgSz w:w="11908" w:h="16833"/>
          <w:pgMar w:top="1702" w:right="1418" w:bottom="1702" w:left="1418" w:header="992" w:footer="992" w:gutter="0"/>
          <w:cols w:space="720"/>
          <w:noEndnote/>
          <w:docGrid w:linePitch="299"/>
        </w:sectPr>
      </w:pPr>
    </w:p>
    <w:p w:rsidR="00000000" w:rsidRPr="006652A5" w:rsidP="006652A5">
      <w:pPr>
        <w:pStyle w:val="SuperHeading"/>
      </w:pPr>
      <w:r w:rsidRPr="006652A5">
        <w:t>Assessment Requirements for CPCCPD3033 Appl</w:t>
      </w:r>
      <w:r w:rsidRPr="006652A5">
        <w:t>y intumescent coatings</w:t>
      </w:r>
    </w:p>
    <w:p w:rsidR="00000000" w:rsidRPr="006652A5" w:rsidP="006652A5">
      <w:pPr>
        <w:pStyle w:val="Heading1"/>
      </w:pPr>
      <w:bookmarkStart w:id="9" w:name="O_1292776"/>
      <w:bookmarkEnd w:id="9"/>
      <w:r w:rsidRPr="006652A5">
        <w:t>Modification History</w:t>
      </w:r>
    </w:p>
    <w:tbl>
      <w:tblPr>
        <w:tblW w:w="0" w:type="auto"/>
        <w:tblLayout w:type="fixed"/>
        <w:tblCellMar>
          <w:left w:w="62" w:type="dxa"/>
          <w:right w:w="62" w:type="dxa"/>
        </w:tblCellMar>
        <w:tblLook w:val="0000"/>
      </w:tblPr>
      <w:tblGrid>
        <w:gridCol w:w="1128"/>
        <w:gridCol w:w="7944"/>
      </w:tblGrid>
      <w:tr w:rsidTr="006652A5">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6652A5">
            <w:pPr>
              <w:pStyle w:val="BodyText"/>
              <w:rPr>
                <w:lang w:val="en-NZ"/>
              </w:rPr>
            </w:pPr>
            <w:r w:rsidRPr="006652A5">
              <w:t>Release 3</w:t>
            </w:r>
          </w:p>
        </w:tc>
        <w:tc>
          <w:tcPr>
            <w:tcW w:w="7944" w:type="dxa"/>
            <w:tcBorders>
              <w:top w:val="nil"/>
              <w:left w:val="nil"/>
              <w:bottom w:val="nil"/>
              <w:right w:val="nil"/>
            </w:tcBorders>
            <w:tcMar>
              <w:top w:w="0" w:type="dxa"/>
              <w:left w:w="62" w:type="dxa"/>
              <w:bottom w:w="0" w:type="dxa"/>
              <w:right w:w="62" w:type="dxa"/>
            </w:tcMar>
          </w:tcPr>
          <w:p w:rsidR="00000000" w:rsidP="006652A5">
            <w:pPr>
              <w:pStyle w:val="BodyText"/>
              <w:rPr>
                <w:lang w:val="en-NZ"/>
              </w:rPr>
            </w:pPr>
            <w:r w:rsidRPr="006652A5">
              <w:t>Updated reference to general construction induction training program.</w:t>
            </w:r>
          </w:p>
        </w:tc>
      </w:tr>
      <w:tr w:rsidTr="006652A5">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6652A5">
            <w:pPr>
              <w:pStyle w:val="BodyText"/>
              <w:rPr>
                <w:lang w:val="en-NZ"/>
              </w:rPr>
            </w:pPr>
            <w:r w:rsidRPr="006652A5">
              <w:t>Release 2</w:t>
            </w:r>
          </w:p>
        </w:tc>
        <w:tc>
          <w:tcPr>
            <w:tcW w:w="7944" w:type="dxa"/>
            <w:tcBorders>
              <w:top w:val="nil"/>
              <w:left w:val="nil"/>
              <w:bottom w:val="nil"/>
              <w:right w:val="nil"/>
            </w:tcBorders>
            <w:tcMar>
              <w:top w:w="0" w:type="dxa"/>
              <w:left w:w="62" w:type="dxa"/>
              <w:bottom w:w="0" w:type="dxa"/>
              <w:right w:w="62" w:type="dxa"/>
            </w:tcMar>
          </w:tcPr>
          <w:p w:rsidR="00000000" w:rsidRPr="006652A5" w:rsidP="006652A5">
            <w:pPr>
              <w:pStyle w:val="BodyText"/>
            </w:pPr>
            <w:r w:rsidRPr="006652A5">
              <w:t>This version first released with CPC Construction, Plumbing and Services Training Package Release 6.4.</w:t>
            </w:r>
          </w:p>
          <w:p w:rsidR="00000000" w:rsidP="006652A5">
            <w:pPr>
              <w:pStyle w:val="BodyText"/>
              <w:rPr>
                <w:lang w:val="en-NZ"/>
              </w:rPr>
            </w:pPr>
            <w:r w:rsidRPr="006652A5">
              <w:t>Correction to Training Package title in the Modification History from CPC Property Services to CPC Construction, Plumbing and Services Training Package.</w:t>
            </w:r>
          </w:p>
        </w:tc>
      </w:tr>
      <w:tr w:rsidTr="006652A5">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6652A5">
            <w:pPr>
              <w:pStyle w:val="BodyText"/>
              <w:rPr>
                <w:lang w:val="en-NZ"/>
              </w:rPr>
            </w:pPr>
            <w:r w:rsidRPr="006652A5">
              <w:t>Release 1</w:t>
            </w:r>
          </w:p>
        </w:tc>
        <w:tc>
          <w:tcPr>
            <w:tcW w:w="7944" w:type="dxa"/>
            <w:tcBorders>
              <w:top w:val="nil"/>
              <w:left w:val="nil"/>
              <w:bottom w:val="nil"/>
              <w:right w:val="nil"/>
            </w:tcBorders>
            <w:tcMar>
              <w:top w:w="0" w:type="dxa"/>
              <w:left w:w="62" w:type="dxa"/>
              <w:bottom w:w="0" w:type="dxa"/>
              <w:right w:w="62" w:type="dxa"/>
            </w:tcMar>
          </w:tcPr>
          <w:p w:rsidR="00000000" w:rsidRPr="006652A5" w:rsidP="006652A5">
            <w:pPr>
              <w:pStyle w:val="BodyText"/>
            </w:pPr>
            <w:r w:rsidRPr="006652A5">
              <w:t>This version first released with CPC Property Services Training Package Release 5.0.</w:t>
            </w:r>
          </w:p>
          <w:p w:rsidR="00000000" w:rsidRPr="006652A5" w:rsidP="006652A5">
            <w:pPr>
              <w:pStyle w:val="BodyText"/>
            </w:pPr>
            <w:r w:rsidRPr="006652A5">
              <w:t>Superse</w:t>
            </w:r>
            <w:r w:rsidRPr="006652A5">
              <w:t>des and is equivalent to CPCCPD3033A Apply intumescent coatings.  Updated to meet the Standards for Training Packages 2012.</w:t>
            </w:r>
          </w:p>
        </w:tc>
      </w:tr>
    </w:tbl>
    <w:p w:rsidR="00000000" w:rsidRPr="006652A5" w:rsidP="006652A5">
      <w:pPr>
        <w:pStyle w:val="BodyText"/>
      </w:pPr>
    </w:p>
    <w:p w:rsidR="00000000" w:rsidRPr="006652A5" w:rsidP="006652A5">
      <w:pPr>
        <w:pStyle w:val="AllowPageBreak"/>
      </w:pPr>
    </w:p>
    <w:p w:rsidR="00000000" w:rsidRPr="006652A5" w:rsidP="006652A5">
      <w:pPr>
        <w:pStyle w:val="Heading1"/>
      </w:pPr>
      <w:bookmarkStart w:id="10" w:name="O_1292775"/>
      <w:bookmarkEnd w:id="10"/>
      <w:r w:rsidRPr="006652A5">
        <w:t>Performance Evidence</w:t>
      </w:r>
    </w:p>
    <w:p w:rsidR="00000000" w:rsidRPr="006652A5" w:rsidP="001F4C0D">
      <w:pPr>
        <w:pStyle w:val="BodyText"/>
      </w:pPr>
      <w:r w:rsidRPr="006652A5">
        <w:t>To demonstrate competency, a candidate must meet the performance criteria of this unit by preparing and applying the following intumescent coating applications to film thickness specification:</w:t>
      </w:r>
    </w:p>
    <w:p w:rsidR="00000000" w:rsidRPr="006652A5" w:rsidP="006652A5">
      <w:pPr>
        <w:pStyle w:val="ListBullet"/>
      </w:pPr>
      <w:r w:rsidRPr="006652A5">
        <w:t xml:space="preserve">one application on a minimum two square metre or three linear </w:t>
      </w:r>
      <w:r w:rsidRPr="006652A5">
        <w:t>metre timber surface</w:t>
      </w:r>
    </w:p>
    <w:p w:rsidR="00000000" w:rsidRPr="006652A5" w:rsidP="006652A5">
      <w:pPr>
        <w:pStyle w:val="ListBullet"/>
      </w:pPr>
      <w:r w:rsidRPr="006652A5">
        <w:t>one application on a minimum two square metre or three linear metre structural steel surface.</w:t>
      </w:r>
    </w:p>
    <w:p w:rsidR="00000000" w:rsidRPr="006652A5" w:rsidP="001F4C0D">
      <w:pPr>
        <w:pStyle w:val="BodyText"/>
      </w:pPr>
      <w:r w:rsidRPr="006652A5">
        <w:t>All work must be performed to the standard required in the workplace and must meet the requirements of work health and safety (WHS), Commonwe</w:t>
      </w:r>
      <w:r w:rsidRPr="006652A5">
        <w:t>alth and state or territory legislation, manufacturers’ specifications, and environmental plans and obligations.</w:t>
      </w:r>
    </w:p>
    <w:p w:rsidR="00000000" w:rsidRPr="006652A5" w:rsidP="006652A5">
      <w:pPr>
        <w:pStyle w:val="Heading1"/>
      </w:pPr>
      <w:bookmarkStart w:id="11" w:name="O_1292774"/>
      <w:bookmarkEnd w:id="11"/>
      <w:r w:rsidRPr="006652A5">
        <w:t>Knowledge Evidence</w:t>
      </w:r>
    </w:p>
    <w:p w:rsidR="00000000" w:rsidRPr="006652A5" w:rsidP="001F4C0D">
      <w:pPr>
        <w:pStyle w:val="BodyText"/>
      </w:pPr>
      <w:r w:rsidRPr="006652A5">
        <w:t>To be competent in this unit, a candidate must demonstrate knowledge of:</w:t>
      </w:r>
    </w:p>
    <w:p w:rsidR="00000000" w:rsidRPr="006652A5" w:rsidP="006652A5">
      <w:pPr>
        <w:pStyle w:val="ListBullet"/>
      </w:pPr>
      <w:r w:rsidRPr="006652A5">
        <w:t>safety requirements relevant to</w:t>
      </w:r>
      <w:r w:rsidRPr="006652A5">
        <w:t xml:space="preserve"> applying intumescent coatings</w:t>
      </w:r>
    </w:p>
    <w:p w:rsidR="00000000" w:rsidRPr="006652A5" w:rsidP="006652A5">
      <w:pPr>
        <w:pStyle w:val="ListBullet"/>
      </w:pPr>
      <w:r w:rsidRPr="006652A5">
        <w:t>environmental requirements relevant to applying intumescent coatings</w:t>
      </w:r>
    </w:p>
    <w:p w:rsidR="00000000" w:rsidRPr="006652A5" w:rsidP="006652A5">
      <w:pPr>
        <w:pStyle w:val="ListBullet"/>
      </w:pPr>
      <w:r w:rsidRPr="006652A5">
        <w:t>manufacturers’ specifications for applying intumescent coatings</w:t>
      </w:r>
    </w:p>
    <w:p w:rsidR="00000000" w:rsidRPr="006652A5" w:rsidP="006652A5">
      <w:pPr>
        <w:pStyle w:val="ListBullet"/>
      </w:pPr>
      <w:r w:rsidRPr="006652A5">
        <w:t>materials, including:</w:t>
      </w:r>
    </w:p>
    <w:p w:rsidR="00000000" w:rsidRPr="006652A5" w:rsidP="006652A5">
      <w:pPr>
        <w:pStyle w:val="ListBullet2"/>
      </w:pPr>
      <w:r w:rsidRPr="006652A5">
        <w:t>primers</w:t>
      </w:r>
    </w:p>
    <w:p w:rsidR="00000000" w:rsidRPr="006652A5" w:rsidP="006652A5">
      <w:pPr>
        <w:pStyle w:val="ListBullet2"/>
      </w:pPr>
      <w:r w:rsidRPr="006652A5">
        <w:t>water-based intumescent coatings</w:t>
      </w:r>
    </w:p>
    <w:p w:rsidR="00000000" w:rsidRPr="006652A5" w:rsidP="006652A5">
      <w:pPr>
        <w:pStyle w:val="ListBullet2"/>
      </w:pPr>
      <w:r w:rsidRPr="006652A5">
        <w:t>solvent-based intumescent coatings</w:t>
      </w:r>
    </w:p>
    <w:p w:rsidR="00000000" w:rsidRPr="006652A5" w:rsidP="006652A5">
      <w:pPr>
        <w:pStyle w:val="ListBullet2"/>
      </w:pPr>
      <w:r w:rsidRPr="006652A5">
        <w:t>suitable clear finishes for protection of the coating</w:t>
      </w:r>
    </w:p>
    <w:p w:rsidR="00000000" w:rsidRPr="006652A5" w:rsidP="006652A5">
      <w:pPr>
        <w:pStyle w:val="ListBullet2"/>
      </w:pPr>
      <w:r w:rsidRPr="006652A5">
        <w:t>structural metal, including:</w:t>
      </w:r>
    </w:p>
    <w:p w:rsidR="00000000" w:rsidRPr="006652A5" w:rsidP="006652A5">
      <w:pPr>
        <w:pStyle w:val="ListBullet3"/>
      </w:pPr>
      <w:r w:rsidRPr="006652A5">
        <w:t>beams</w:t>
      </w:r>
    </w:p>
    <w:p w:rsidR="00000000" w:rsidRPr="006652A5" w:rsidP="006652A5">
      <w:pPr>
        <w:pStyle w:val="ListBullet3"/>
      </w:pPr>
      <w:r w:rsidRPr="006652A5">
        <w:t>columns</w:t>
      </w:r>
    </w:p>
    <w:p w:rsidR="00000000" w:rsidRPr="006652A5" w:rsidP="006652A5">
      <w:pPr>
        <w:pStyle w:val="ListBullet"/>
      </w:pPr>
      <w:r w:rsidRPr="006652A5">
        <w:t>job site and humidity requirements</w:t>
      </w:r>
    </w:p>
    <w:p w:rsidR="00000000" w:rsidRPr="006652A5" w:rsidP="006652A5">
      <w:pPr>
        <w:pStyle w:val="ListBullet"/>
      </w:pPr>
      <w:r w:rsidRPr="006652A5">
        <w:t>chemical properties of intumescent coatings</w:t>
      </w:r>
    </w:p>
    <w:p w:rsidR="00000000" w:rsidRPr="006652A5" w:rsidP="006652A5">
      <w:pPr>
        <w:pStyle w:val="ListBullet"/>
      </w:pPr>
      <w:r w:rsidRPr="006652A5">
        <w:t>chemical reaction in fire situation</w:t>
      </w:r>
    </w:p>
    <w:p w:rsidR="00000000" w:rsidRPr="006652A5" w:rsidP="006652A5">
      <w:pPr>
        <w:pStyle w:val="ListBullet"/>
      </w:pPr>
      <w:r w:rsidRPr="006652A5">
        <w:t>coating requirements for structural metal work, including coating performance differences between hollow and concrete-filled structures</w:t>
      </w:r>
    </w:p>
    <w:p w:rsidR="00000000" w:rsidRPr="006652A5" w:rsidP="006652A5">
      <w:pPr>
        <w:pStyle w:val="ListBullet"/>
      </w:pPr>
      <w:r w:rsidRPr="006652A5">
        <w:t>coating requirements for timber</w:t>
      </w:r>
    </w:p>
    <w:p w:rsidR="00000000" w:rsidRPr="006652A5" w:rsidP="006652A5">
      <w:pPr>
        <w:pStyle w:val="ListBullet"/>
      </w:pPr>
      <w:r w:rsidRPr="006652A5">
        <w:t>compatibility of coatings to substrates</w:t>
      </w:r>
    </w:p>
    <w:p w:rsidR="00000000" w:rsidRPr="006652A5" w:rsidP="006652A5">
      <w:pPr>
        <w:pStyle w:val="ListBullet"/>
      </w:pPr>
      <w:r w:rsidRPr="006652A5">
        <w:t>fire resistance level (FRL) rating of intumescen</w:t>
      </w:r>
      <w:r w:rsidRPr="006652A5">
        <w:t>t coatings for a range of construction materials</w:t>
      </w:r>
    </w:p>
    <w:p w:rsidR="00000000" w:rsidRPr="006652A5" w:rsidP="006652A5">
      <w:pPr>
        <w:pStyle w:val="ListBullet"/>
      </w:pPr>
      <w:r w:rsidRPr="006652A5">
        <w:t>materials storage and environmentally friendly waste management</w:t>
      </w:r>
    </w:p>
    <w:p w:rsidR="00000000" w:rsidRPr="006652A5" w:rsidP="006652A5">
      <w:pPr>
        <w:pStyle w:val="ListBullet"/>
      </w:pPr>
      <w:r w:rsidRPr="006652A5">
        <w:t>interpreting plans and specifications for intumescent coatings</w:t>
      </w:r>
    </w:p>
    <w:p w:rsidR="00000000" w:rsidRPr="006652A5" w:rsidP="006652A5">
      <w:pPr>
        <w:pStyle w:val="ListBullet"/>
      </w:pPr>
      <w:r w:rsidRPr="006652A5">
        <w:t>processes for the calculation of material requirements relevant to applying intu</w:t>
      </w:r>
      <w:r w:rsidRPr="006652A5">
        <w:t>mescent coatings</w:t>
      </w:r>
    </w:p>
    <w:p w:rsidR="00000000" w:rsidRPr="006652A5" w:rsidP="006652A5">
      <w:pPr>
        <w:pStyle w:val="ListBullet"/>
      </w:pPr>
      <w:r w:rsidRPr="006652A5">
        <w:t>quality requirements relevant to applying intumescent coatings</w:t>
      </w:r>
    </w:p>
    <w:p w:rsidR="00000000" w:rsidRPr="006652A5" w:rsidP="006652A5">
      <w:pPr>
        <w:pStyle w:val="ListBullet"/>
      </w:pPr>
      <w:r w:rsidRPr="006652A5">
        <w:t>volume solids behaviour and impact on intumescent coatings performance.</w:t>
      </w:r>
    </w:p>
    <w:p w:rsidR="00000000" w:rsidRPr="006652A5" w:rsidP="006652A5">
      <w:pPr>
        <w:pStyle w:val="AllowPageBreak"/>
      </w:pPr>
    </w:p>
    <w:p w:rsidR="00000000" w:rsidRPr="006652A5" w:rsidP="006652A5">
      <w:pPr>
        <w:pStyle w:val="Heading1"/>
      </w:pPr>
      <w:bookmarkStart w:id="12" w:name="O_1292773"/>
      <w:bookmarkEnd w:id="12"/>
      <w:r w:rsidRPr="006652A5">
        <w:t>Assessment Conditions</w:t>
      </w:r>
    </w:p>
    <w:p w:rsidR="00000000" w:rsidRPr="006652A5" w:rsidP="001F4C0D">
      <w:pPr>
        <w:pStyle w:val="BodyText"/>
      </w:pPr>
      <w:r w:rsidRPr="006652A5">
        <w:t>Assessors must meet the r</w:t>
      </w:r>
      <w:r w:rsidRPr="006652A5">
        <w:t xml:space="preserve">equirements for assessors contained in the Standards for Registered Training Organisations. </w:t>
      </w:r>
    </w:p>
    <w:p w:rsidR="00000000" w:rsidRPr="006652A5" w:rsidP="001F4C0D">
      <w:pPr>
        <w:pStyle w:val="BodyText"/>
      </w:pPr>
      <w:r w:rsidRPr="006652A5">
        <w:t xml:space="preserve">This unit must be assessed: </w:t>
      </w:r>
    </w:p>
    <w:p w:rsidR="00000000" w:rsidRPr="006652A5" w:rsidP="006652A5">
      <w:pPr>
        <w:pStyle w:val="ListBullet"/>
      </w:pPr>
      <w:r w:rsidRPr="006652A5">
        <w:t>in the workplace or a close simulation of the workplace environment, provided that simulated or project-based assessment techniques r</w:t>
      </w:r>
      <w:r w:rsidRPr="006652A5">
        <w:t>eplicate construction workplace conditions, materials, activities, responsibilities and procedures.</w:t>
      </w:r>
    </w:p>
    <w:p w:rsidR="00000000" w:rsidRPr="006652A5" w:rsidP="006652A5">
      <w:pPr>
        <w:pStyle w:val="ListBullet"/>
      </w:pPr>
      <w:r w:rsidRPr="006652A5">
        <w:t>using realistic tasks or simulated tasks, relevant specifications and work instructions, standard work practices, safety requirements and environmental cons</w:t>
      </w:r>
      <w:r w:rsidRPr="006652A5">
        <w:t>traints.</w:t>
      </w:r>
    </w:p>
    <w:p w:rsidR="00000000" w:rsidRPr="006652A5" w:rsidP="006652A5">
      <w:pPr>
        <w:pStyle w:val="AllowPageBreak"/>
      </w:pPr>
    </w:p>
    <w:p w:rsidR="00000000" w:rsidRPr="006652A5" w:rsidP="006652A5">
      <w:pPr>
        <w:pStyle w:val="Heading1"/>
      </w:pPr>
      <w:bookmarkStart w:id="13" w:name="O_1292786"/>
      <w:bookmarkEnd w:id="13"/>
      <w:r w:rsidRPr="006652A5">
        <w:t>Links</w:t>
      </w:r>
    </w:p>
    <w:p w:rsidR="00000000" w:rsidRPr="006652A5" w:rsidP="001F4C0D">
      <w:pPr>
        <w:pStyle w:val="BodyText"/>
      </w:pPr>
      <w:r w:rsidRPr="006652A5">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BD2905">
        <w:rPr>
          <w:rStyle w:val="Hyperlink"/>
        </w:rPr>
        <w:t>https://vetnet.gov.au/Pages/TrainingDocs.aspx?q=7e15fa6a-68b8-4097-b099-030a5569b1ad</w:t>
      </w:r>
      <w:r>
        <w:fldChar w:fldCharType="end"/>
      </w:r>
    </w:p>
    <w:p w:rsidR="00000000" w:rsidRPr="006652A5" w:rsidP="006652A5"/>
    <w:sectPr w:rsidSect="006652A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2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2A5" w:rsidRPr="001F4C0D" w:rsidP="001F4C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2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C0D" w:rsidP="006652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F4C0D" w:rsidP="006652A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1F4C0D" w:rsidP="006652A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2A5" w:rsidP="006652A5">
    <w:pPr>
      <w:pStyle w:val="Footer"/>
      <w:framePr w:wrap="around"/>
    </w:pPr>
    <w:r>
      <w:fldChar w:fldCharType="begin"/>
    </w:r>
    <w:r>
      <w:instrText xml:space="preserve"> DOCPROPERTY  Subject  \* MERGEFORMAT </w:instrText>
    </w:r>
    <w:r>
      <w:fldChar w:fldCharType="separate"/>
    </w:r>
    <w:r w:rsidR="001F4C0D">
      <w:t>Approved</w:t>
    </w:r>
    <w:r w:rsidR="001F4C0D">
      <w:fldChar w:fldCharType="end"/>
    </w:r>
    <w:r>
      <w:tab/>
      <w:t xml:space="preserve">Page </w:t>
    </w:r>
    <w:r>
      <w:fldChar w:fldCharType="begin"/>
    </w:r>
    <w:r>
      <w:instrText xml:space="preserve"> PAGE  \* Arabic  \* MERGEFORMAT </w:instrText>
    </w:r>
    <w:r>
      <w:fldChar w:fldCharType="separate"/>
    </w:r>
    <w:r w:rsidR="001F4C0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F4C0D">
      <w:rPr>
        <w:noProof/>
      </w:rPr>
      <w:t>5</w:t>
    </w:r>
    <w:r>
      <w:rPr>
        <w:noProof/>
      </w:rPr>
      <w:fldChar w:fldCharType="end"/>
    </w:r>
  </w:p>
  <w:p w:rsidR="006652A5" w:rsidP="006652A5">
    <w:pPr>
      <w:pStyle w:val="Footer"/>
      <w:framePr w:wrap="around"/>
    </w:pPr>
    <w:r>
      <w:t xml:space="preserve">© Commonwealth of Australia, </w:t>
    </w:r>
    <w:r>
      <w:fldChar w:fldCharType="begin"/>
    </w:r>
    <w:r>
      <w:instrText xml:space="preserve"> DATE  \@ "yyyy"  \* MERGEFORMAT </w:instrText>
    </w:r>
    <w:r>
      <w:fldChar w:fldCharType="separate"/>
    </w:r>
    <w:r w:rsidR="001F4C0D">
      <w:rPr>
        <w:noProof/>
      </w:rPr>
      <w:t>2025</w:t>
    </w:r>
    <w:r>
      <w:fldChar w:fldCharType="end"/>
    </w:r>
    <w:r>
      <w:tab/>
    </w:r>
    <w:r>
      <w:fldChar w:fldCharType="begin"/>
    </w:r>
    <w:r>
      <w:instrText xml:space="preserve"> DOCPROPERTY  Author  \* MERGEFORMAT </w:instrText>
    </w:r>
    <w:r>
      <w:fldChar w:fldCharType="separate"/>
    </w:r>
    <w:r w:rsidR="001F4C0D">
      <w:t>BuildSkills Australia</w:t>
    </w:r>
    <w:r w:rsidR="001F4C0D">
      <w:fldChar w:fldCharType="end"/>
    </w:r>
  </w:p>
  <w:p w:rsidR="006652A5" w:rsidP="006652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2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C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52A5" w:rsidRPr="001F4C0D" w:rsidP="001F4C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2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C0D" w:rsidRPr="002D2AF8" w:rsidP="006652A5">
    <w:pPr>
      <w:pStyle w:val="Header"/>
      <w:framePr w:wrap="around"/>
    </w:pPr>
    <w:r>
      <w:fldChar w:fldCharType="begin"/>
    </w:r>
    <w:r>
      <w:instrText xml:space="preserve"> TITLE   \* MERGEFORMAT </w:instrText>
    </w:r>
    <w:r>
      <w:fldChar w:fldCharType="separate"/>
    </w:r>
    <w:r>
      <w:t>CPCCPD3033 Apply intumescent coatings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F4C0D" w:rsidP="006652A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2A5" w:rsidRPr="002D2AF8" w:rsidP="006652A5">
    <w:pPr>
      <w:pStyle w:val="Header"/>
      <w:framePr w:wrap="around"/>
    </w:pPr>
    <w:r>
      <w:fldChar w:fldCharType="begin"/>
    </w:r>
    <w:r>
      <w:instrText xml:space="preserve"> TITLE   \* MERGEFORMAT </w:instrText>
    </w:r>
    <w:r>
      <w:fldChar w:fldCharType="separate"/>
    </w:r>
    <w:r w:rsidR="001F4C0D">
      <w:t>CPCCPD3033 Apply intumescent coatings</w:t>
    </w:r>
    <w:r w:rsidR="001F4C0D">
      <w:fldChar w:fldCharType="end"/>
    </w:r>
    <w:r>
      <w:tab/>
      <w:t xml:space="preserve">Date this document was generated: </w:t>
    </w:r>
    <w:r>
      <w:fldChar w:fldCharType="begin"/>
    </w:r>
    <w:r>
      <w:instrText xml:space="preserve"> CREATEDATE  \@ "d MMMM yyyy"  \* MERGEFORMAT </w:instrText>
    </w:r>
    <w:r>
      <w:fldChar w:fldCharType="separate"/>
    </w:r>
    <w:r w:rsidR="001F4C0D">
      <w:rPr>
        <w:noProof/>
      </w:rPr>
      <w:t>2 March 2025</w:t>
    </w:r>
    <w:r>
      <w:fldChar w:fldCharType="end"/>
    </w:r>
  </w:p>
  <w:p w:rsidR="006652A5" w:rsidP="006652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F6A20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EC0E7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FE8F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52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52A5"/>
    <w:pPr>
      <w:spacing w:before="360" w:after="60"/>
      <w:outlineLvl w:val="0"/>
    </w:pPr>
    <w:rPr>
      <w:sz w:val="32"/>
    </w:rPr>
  </w:style>
  <w:style w:type="paragraph" w:styleId="Heading2">
    <w:name w:val="heading 2"/>
    <w:basedOn w:val="HeadingBase"/>
    <w:next w:val="BodyText"/>
    <w:link w:val="Heading2Char"/>
    <w:qFormat/>
    <w:rsid w:val="006652A5"/>
    <w:pPr>
      <w:keepLines/>
      <w:spacing w:before="240" w:after="120"/>
      <w:outlineLvl w:val="1"/>
    </w:pPr>
    <w:rPr>
      <w:sz w:val="28"/>
      <w:szCs w:val="40"/>
    </w:rPr>
  </w:style>
  <w:style w:type="paragraph" w:styleId="Heading3">
    <w:name w:val="heading 3"/>
    <w:basedOn w:val="HeadingBase"/>
    <w:next w:val="BodyText"/>
    <w:link w:val="Heading3Char"/>
    <w:qFormat/>
    <w:rsid w:val="006652A5"/>
    <w:pPr>
      <w:spacing w:before="180" w:after="120"/>
      <w:outlineLvl w:val="2"/>
    </w:pPr>
    <w:rPr>
      <w:spacing w:val="-10"/>
      <w:kern w:val="32"/>
    </w:rPr>
  </w:style>
  <w:style w:type="paragraph" w:styleId="Heading4">
    <w:name w:val="heading 4"/>
    <w:basedOn w:val="HeadingBase"/>
    <w:next w:val="BodyText"/>
    <w:link w:val="Heading4Char"/>
    <w:qFormat/>
    <w:rsid w:val="006652A5"/>
    <w:pPr>
      <w:spacing w:before="160" w:after="120"/>
      <w:outlineLvl w:val="3"/>
    </w:pPr>
    <w:rPr>
      <w:sz w:val="22"/>
    </w:rPr>
  </w:style>
  <w:style w:type="paragraph" w:styleId="Heading5">
    <w:name w:val="heading 5"/>
    <w:basedOn w:val="HeadingBase"/>
    <w:next w:val="Normal"/>
    <w:link w:val="Heading5Char"/>
    <w:qFormat/>
    <w:rsid w:val="006652A5"/>
    <w:pPr>
      <w:spacing w:before="80"/>
      <w:outlineLvl w:val="4"/>
    </w:pPr>
    <w:rPr>
      <w:color w:val="918585"/>
      <w:sz w:val="20"/>
    </w:rPr>
  </w:style>
  <w:style w:type="paragraph" w:styleId="Heading6">
    <w:name w:val="heading 6"/>
    <w:basedOn w:val="HeadingBase"/>
    <w:next w:val="Normal"/>
    <w:link w:val="Heading6Char"/>
    <w:qFormat/>
    <w:rsid w:val="006652A5"/>
    <w:pPr>
      <w:spacing w:before="60"/>
      <w:outlineLvl w:val="5"/>
    </w:pPr>
    <w:rPr>
      <w:color w:val="918585"/>
      <w:sz w:val="20"/>
    </w:rPr>
  </w:style>
  <w:style w:type="paragraph" w:styleId="Heading7">
    <w:name w:val="heading 7"/>
    <w:basedOn w:val="Normal"/>
    <w:next w:val="Normal"/>
    <w:link w:val="Heading7Char"/>
    <w:qFormat/>
    <w:rsid w:val="006652A5"/>
    <w:pPr>
      <w:ind w:left="720"/>
      <w:outlineLvl w:val="6"/>
    </w:pPr>
    <w:rPr>
      <w:i/>
    </w:rPr>
  </w:style>
  <w:style w:type="paragraph" w:styleId="Heading8">
    <w:name w:val="heading 8"/>
    <w:basedOn w:val="Normal"/>
    <w:next w:val="Normal"/>
    <w:link w:val="Heading8Char"/>
    <w:qFormat/>
    <w:rsid w:val="006652A5"/>
    <w:pPr>
      <w:ind w:left="720"/>
      <w:outlineLvl w:val="7"/>
    </w:pPr>
    <w:rPr>
      <w:i/>
    </w:rPr>
  </w:style>
  <w:style w:type="paragraph" w:styleId="Heading9">
    <w:name w:val="heading 9"/>
    <w:basedOn w:val="Normal"/>
    <w:next w:val="Normal"/>
    <w:link w:val="Heading9Char"/>
    <w:qFormat/>
    <w:rsid w:val="006652A5"/>
    <w:pPr>
      <w:ind w:left="720"/>
      <w:outlineLvl w:val="8"/>
    </w:pPr>
    <w:rPr>
      <w:i/>
    </w:rPr>
  </w:style>
  <w:style w:type="character" w:default="1" w:styleId="DefaultParagraphFont">
    <w:name w:val="Default Paragraph Font"/>
    <w:uiPriority w:val="1"/>
    <w:unhideWhenUsed/>
    <w:rsid w:val="006652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52A5"/>
  </w:style>
  <w:style w:type="character" w:customStyle="1" w:styleId="Heading1Char">
    <w:name w:val="Heading 1 Char"/>
    <w:basedOn w:val="DefaultParagraphFont"/>
    <w:link w:val="Heading1"/>
    <w:rsid w:val="006652A5"/>
    <w:rPr>
      <w:rFonts w:ascii="Times New Roman" w:eastAsia="Times New Roman" w:hAnsi="Times New Roman" w:cs="Times New Roman"/>
      <w:b/>
      <w:sz w:val="32"/>
      <w:szCs w:val="20"/>
      <w:lang w:eastAsia="en-US"/>
    </w:rPr>
  </w:style>
  <w:style w:type="paragraph" w:styleId="BodyText">
    <w:name w:val="Body Text"/>
    <w:basedOn w:val="Normal"/>
    <w:link w:val="BodyTextChar"/>
    <w:rsid w:val="006652A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52A5"/>
    <w:rPr>
      <w:rFonts w:ascii="Times New Roman" w:eastAsia="Times New Roman" w:hAnsi="Times New Roman" w:cs="Times New Roman"/>
      <w:sz w:val="24"/>
      <w:lang w:eastAsia="en-US"/>
    </w:rPr>
  </w:style>
  <w:style w:type="paragraph" w:styleId="ListBullet">
    <w:name w:val="List Bullet"/>
    <w:basedOn w:val="List"/>
    <w:rsid w:val="006652A5"/>
    <w:pPr>
      <w:numPr>
        <w:numId w:val="13"/>
      </w:numPr>
      <w:tabs>
        <w:tab w:val="clear" w:pos="340"/>
      </w:tabs>
      <w:spacing w:before="40" w:after="40"/>
    </w:pPr>
  </w:style>
  <w:style w:type="paragraph" w:styleId="ListBullet2">
    <w:name w:val="List Bullet 2"/>
    <w:basedOn w:val="List2"/>
    <w:rsid w:val="006652A5"/>
    <w:pPr>
      <w:numPr>
        <w:numId w:val="14"/>
      </w:numPr>
      <w:tabs>
        <w:tab w:val="clear" w:pos="680"/>
      </w:tabs>
    </w:pPr>
  </w:style>
  <w:style w:type="character" w:styleId="Emphasis">
    <w:name w:val="Emphasis"/>
    <w:basedOn w:val="DefaultParagraphFont"/>
    <w:qFormat/>
    <w:rsid w:val="006652A5"/>
    <w:rPr>
      <w:i/>
    </w:rPr>
  </w:style>
  <w:style w:type="paragraph" w:customStyle="1" w:styleId="SuperHeading">
    <w:name w:val="SuperHeading"/>
    <w:basedOn w:val="Normal"/>
    <w:rsid w:val="006652A5"/>
    <w:pPr>
      <w:spacing w:before="240" w:after="120"/>
      <w:outlineLvl w:val="0"/>
    </w:pPr>
    <w:rPr>
      <w:rFonts w:ascii="Times New Roman" w:hAnsi="Times New Roman"/>
      <w:b/>
      <w:sz w:val="32"/>
    </w:rPr>
  </w:style>
  <w:style w:type="paragraph" w:customStyle="1" w:styleId="AllowPageBreak">
    <w:name w:val="AllowPageBreak"/>
    <w:rsid w:val="006652A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652A5"/>
    <w:pPr>
      <w:numPr>
        <w:numId w:val="3"/>
      </w:numPr>
      <w:tabs>
        <w:tab w:val="clear" w:pos="1021"/>
      </w:tabs>
      <w:ind w:left="1037" w:hanging="357"/>
    </w:pPr>
  </w:style>
  <w:style w:type="character" w:customStyle="1" w:styleId="Heading2Char">
    <w:name w:val="Heading 2 Char"/>
    <w:basedOn w:val="DefaultParagraphFont"/>
    <w:link w:val="Heading2"/>
    <w:rsid w:val="006652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52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52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52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52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52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52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52A5"/>
    <w:rPr>
      <w:rFonts w:ascii="Courier New" w:eastAsia="Times New Roman" w:hAnsi="Courier New" w:cs="Times New Roman"/>
      <w:i/>
      <w:szCs w:val="20"/>
      <w:lang w:eastAsia="en-US"/>
    </w:rPr>
  </w:style>
  <w:style w:type="paragraph" w:customStyle="1" w:styleId="HeadingBase">
    <w:name w:val="Heading Base"/>
    <w:rsid w:val="006652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52A5"/>
    <w:pPr>
      <w:tabs>
        <w:tab w:val="right" w:leader="dot" w:pos="9072"/>
      </w:tabs>
      <w:ind w:left="567"/>
    </w:pPr>
    <w:rPr>
      <w:szCs w:val="22"/>
    </w:rPr>
  </w:style>
  <w:style w:type="paragraph" w:customStyle="1" w:styleId="TOCBase">
    <w:name w:val="TOC Base"/>
    <w:rsid w:val="006652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52A5"/>
    <w:pPr>
      <w:tabs>
        <w:tab w:val="right" w:leader="dot" w:pos="9072"/>
      </w:tabs>
      <w:spacing w:before="40" w:after="40"/>
      <w:ind w:left="284"/>
    </w:pPr>
    <w:rPr>
      <w:rFonts w:ascii="Times New Roman" w:hAnsi="Times New Roman"/>
    </w:rPr>
  </w:style>
  <w:style w:type="paragraph" w:styleId="TOC1">
    <w:name w:val="toc 1"/>
    <w:basedOn w:val="TOCBase"/>
    <w:next w:val="Normal"/>
    <w:rsid w:val="006652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52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52A5"/>
    <w:rPr>
      <w:rFonts w:ascii="Times New Roman" w:eastAsia="Times New Roman" w:hAnsi="Times New Roman" w:cs="Times New Roman"/>
      <w:sz w:val="16"/>
      <w:lang w:eastAsia="en-US"/>
    </w:rPr>
  </w:style>
  <w:style w:type="paragraph" w:styleId="Title">
    <w:name w:val="Title"/>
    <w:basedOn w:val="HeadingBase"/>
    <w:link w:val="TitleChar"/>
    <w:qFormat/>
    <w:rsid w:val="006652A5"/>
    <w:pPr>
      <w:spacing w:before="5040"/>
      <w:jc w:val="center"/>
    </w:pPr>
    <w:rPr>
      <w:sz w:val="48"/>
      <w:szCs w:val="72"/>
      <w:lang w:val="en-US"/>
    </w:rPr>
  </w:style>
  <w:style w:type="character" w:customStyle="1" w:styleId="TitleChar">
    <w:name w:val="Title Char"/>
    <w:basedOn w:val="DefaultParagraphFont"/>
    <w:link w:val="Title"/>
    <w:rsid w:val="006652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52A5"/>
    <w:pPr>
      <w:tabs>
        <w:tab w:val="left" w:pos="3600"/>
        <w:tab w:val="left" w:pos="3958"/>
      </w:tabs>
    </w:pPr>
  </w:style>
  <w:style w:type="paragraph" w:styleId="List">
    <w:name w:val="List"/>
    <w:basedOn w:val="BodyText"/>
    <w:next w:val="BodyText"/>
    <w:rsid w:val="006652A5"/>
    <w:pPr>
      <w:tabs>
        <w:tab w:val="left" w:pos="340"/>
      </w:tabs>
      <w:spacing w:before="60" w:after="60"/>
      <w:ind w:left="340" w:hanging="340"/>
    </w:pPr>
  </w:style>
  <w:style w:type="paragraph" w:customStyle="1" w:styleId="Note">
    <w:name w:val="Note"/>
    <w:basedOn w:val="BodyText"/>
    <w:rsid w:val="006652A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652A5"/>
    <w:rPr>
      <w:b/>
      <w:spacing w:val="0"/>
    </w:rPr>
  </w:style>
  <w:style w:type="paragraph" w:customStyle="1" w:styleId="SuperTitle">
    <w:name w:val="SuperTitle"/>
    <w:basedOn w:val="Title"/>
    <w:rsid w:val="006652A5"/>
    <w:pPr>
      <w:framePr w:wrap="auto" w:hAnchor="text" w:y="6049"/>
    </w:pPr>
    <w:rPr>
      <w:color w:val="000000"/>
      <w:sz w:val="40"/>
    </w:rPr>
  </w:style>
  <w:style w:type="paragraph" w:customStyle="1" w:styleId="TOCTitle">
    <w:name w:val="TOCTitle"/>
    <w:basedOn w:val="Heading1"/>
    <w:rsid w:val="006652A5"/>
    <w:pPr>
      <w:spacing w:after="240"/>
      <w:jc w:val="center"/>
      <w:outlineLvl w:val="9"/>
    </w:pPr>
    <w:rPr>
      <w:caps/>
    </w:rPr>
  </w:style>
  <w:style w:type="paragraph" w:customStyle="1" w:styleId="Version">
    <w:name w:val="Version"/>
    <w:rsid w:val="006652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52A5"/>
    <w:pPr>
      <w:keepNext w:val="0"/>
      <w:tabs>
        <w:tab w:val="right" w:pos="4176"/>
      </w:tabs>
      <w:ind w:left="198" w:hanging="198"/>
    </w:pPr>
    <w:rPr>
      <w:rFonts w:ascii="Garamond" w:hAnsi="Garamond"/>
    </w:rPr>
  </w:style>
  <w:style w:type="paragraph" w:styleId="IndexHeading">
    <w:name w:val="index heading"/>
    <w:basedOn w:val="Normal"/>
    <w:next w:val="Index1"/>
    <w:semiHidden/>
    <w:rsid w:val="006652A5"/>
    <w:pPr>
      <w:spacing w:before="120" w:after="120"/>
    </w:pPr>
    <w:rPr>
      <w:rFonts w:ascii="Arial" w:hAnsi="Arial"/>
      <w:b/>
      <w:color w:val="918585"/>
      <w:sz w:val="24"/>
    </w:rPr>
  </w:style>
  <w:style w:type="paragraph" w:styleId="Header">
    <w:name w:val="header"/>
    <w:basedOn w:val="Normal"/>
    <w:link w:val="HeaderChar"/>
    <w:rsid w:val="006652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52A5"/>
    <w:rPr>
      <w:rFonts w:ascii="Times New Roman" w:eastAsia="Times New Roman" w:hAnsi="Times New Roman" w:cs="Times New Roman"/>
      <w:sz w:val="16"/>
      <w:szCs w:val="20"/>
      <w:lang w:val="en-GB" w:eastAsia="en-US"/>
    </w:rPr>
  </w:style>
  <w:style w:type="paragraph" w:customStyle="1" w:styleId="Chapter">
    <w:name w:val="Chapter"/>
    <w:basedOn w:val="Normal"/>
    <w:rsid w:val="006652A5"/>
    <w:pPr>
      <w:spacing w:before="240"/>
    </w:pPr>
    <w:rPr>
      <w:rFonts w:ascii="Times New Roman" w:hAnsi="Times New Roman"/>
      <w:smallCaps/>
      <w:spacing w:val="80"/>
      <w:sz w:val="28"/>
    </w:rPr>
  </w:style>
  <w:style w:type="paragraph" w:customStyle="1" w:styleId="InChapter">
    <w:name w:val="InChapter"/>
    <w:basedOn w:val="Heading3"/>
    <w:rsid w:val="006652A5"/>
    <w:pPr>
      <w:spacing w:after="240"/>
      <w:outlineLvl w:val="9"/>
    </w:pPr>
    <w:rPr>
      <w:noProof/>
    </w:rPr>
  </w:style>
  <w:style w:type="paragraph" w:styleId="Index2">
    <w:name w:val="index 2"/>
    <w:basedOn w:val="Normal"/>
    <w:next w:val="Normal"/>
    <w:semiHidden/>
    <w:rsid w:val="006652A5"/>
    <w:pPr>
      <w:tabs>
        <w:tab w:val="right" w:pos="4176"/>
      </w:tabs>
      <w:ind w:left="568" w:hanging="284"/>
    </w:pPr>
    <w:rPr>
      <w:rFonts w:ascii="Garamond" w:hAnsi="Garamond"/>
    </w:rPr>
  </w:style>
  <w:style w:type="paragraph" w:customStyle="1" w:styleId="Byline">
    <w:name w:val="Byline"/>
    <w:rsid w:val="006652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52A5"/>
    <w:pPr>
      <w:tabs>
        <w:tab w:val="clear" w:pos="3600"/>
        <w:tab w:val="clear" w:pos="3958"/>
      </w:tabs>
      <w:jc w:val="right"/>
    </w:pPr>
  </w:style>
  <w:style w:type="paragraph" w:styleId="Caption">
    <w:name w:val="caption"/>
    <w:basedOn w:val="BodyText"/>
    <w:next w:val="Normal"/>
    <w:qFormat/>
    <w:rsid w:val="006652A5"/>
    <w:pPr>
      <w:framePr w:w="2268" w:hSpace="181" w:vSpace="181" w:wrap="around" w:vAnchor="text" w:hAnchor="page" w:x="1135" w:y="285" w:anchorLock="1"/>
    </w:pPr>
    <w:rPr>
      <w:i/>
    </w:rPr>
  </w:style>
  <w:style w:type="paragraph" w:customStyle="1" w:styleId="MiniTOCTitle">
    <w:name w:val="MiniTOCTitle"/>
    <w:basedOn w:val="Heading4"/>
    <w:rsid w:val="006652A5"/>
    <w:pPr>
      <w:spacing w:before="240"/>
      <w:outlineLvl w:val="9"/>
    </w:pPr>
    <w:rPr>
      <w:noProof/>
      <w:sz w:val="24"/>
    </w:rPr>
  </w:style>
  <w:style w:type="paragraph" w:customStyle="1" w:styleId="MiniTOCItem">
    <w:name w:val="MiniTOCItem"/>
    <w:basedOn w:val="ListBullet"/>
    <w:rsid w:val="006652A5"/>
    <w:pPr>
      <w:numPr>
        <w:numId w:val="0"/>
      </w:numPr>
      <w:tabs>
        <w:tab w:val="right" w:leader="dot" w:pos="6521"/>
      </w:tabs>
      <w:spacing w:before="0" w:after="0"/>
    </w:pPr>
  </w:style>
  <w:style w:type="paragraph" w:customStyle="1" w:styleId="TOFTitle">
    <w:name w:val="TOFTitle"/>
    <w:basedOn w:val="TOCTitle"/>
    <w:rsid w:val="006652A5"/>
  </w:style>
  <w:style w:type="paragraph" w:styleId="TableofFigures">
    <w:name w:val="table of figures"/>
    <w:basedOn w:val="Normal"/>
    <w:next w:val="Normal"/>
    <w:semiHidden/>
    <w:rsid w:val="006652A5"/>
    <w:pPr>
      <w:tabs>
        <w:tab w:val="right" w:leader="dot" w:pos="9072"/>
      </w:tabs>
      <w:ind w:left="970" w:hanging="403"/>
    </w:pPr>
    <w:rPr>
      <w:rFonts w:ascii="Times New Roman" w:hAnsi="Times New Roman"/>
      <w:b/>
    </w:rPr>
  </w:style>
  <w:style w:type="paragraph" w:styleId="ListNumber">
    <w:name w:val="List Number"/>
    <w:basedOn w:val="List"/>
    <w:rsid w:val="006652A5"/>
    <w:pPr>
      <w:numPr>
        <w:numId w:val="16"/>
      </w:numPr>
      <w:tabs>
        <w:tab w:val="clear" w:pos="340"/>
      </w:tabs>
    </w:pPr>
  </w:style>
  <w:style w:type="character" w:customStyle="1" w:styleId="WingdingSymbols">
    <w:name w:val="Wingding Symbols"/>
    <w:rsid w:val="006652A5"/>
    <w:rPr>
      <w:rFonts w:ascii="Wingdings" w:hAnsi="Wingdings"/>
    </w:rPr>
  </w:style>
  <w:style w:type="paragraph" w:customStyle="1" w:styleId="TableHeading">
    <w:name w:val="Table Heading"/>
    <w:basedOn w:val="HeadingBase"/>
    <w:rsid w:val="006652A5"/>
    <w:pPr>
      <w:keepLines/>
      <w:pBdr>
        <w:bottom w:val="single" w:sz="6" w:space="1" w:color="918585"/>
      </w:pBdr>
      <w:spacing w:before="240"/>
    </w:pPr>
  </w:style>
  <w:style w:type="character" w:customStyle="1" w:styleId="HotSpot">
    <w:name w:val="HotSpot"/>
    <w:rsid w:val="006652A5"/>
    <w:rPr>
      <w:color w:val="0033CC"/>
      <w:u w:val="none"/>
    </w:rPr>
  </w:style>
  <w:style w:type="paragraph" w:customStyle="1" w:styleId="BodyTextRight">
    <w:name w:val="Body Text Right"/>
    <w:basedOn w:val="BodyText"/>
    <w:rsid w:val="006652A5"/>
    <w:pPr>
      <w:spacing w:before="0" w:after="0"/>
      <w:jc w:val="right"/>
    </w:pPr>
  </w:style>
  <w:style w:type="paragraph" w:styleId="Index3">
    <w:name w:val="index 3"/>
    <w:basedOn w:val="ListNumber2"/>
    <w:next w:val="Normal"/>
    <w:semiHidden/>
    <w:rsid w:val="006652A5"/>
    <w:pPr>
      <w:numPr>
        <w:numId w:val="0"/>
      </w:numPr>
      <w:tabs>
        <w:tab w:val="right" w:leader="dot" w:pos="4176"/>
      </w:tabs>
    </w:pPr>
  </w:style>
  <w:style w:type="paragraph" w:styleId="ListNumber2">
    <w:name w:val="List Number 2"/>
    <w:basedOn w:val="List2"/>
    <w:rsid w:val="006652A5"/>
    <w:pPr>
      <w:numPr>
        <w:numId w:val="11"/>
      </w:numPr>
      <w:tabs>
        <w:tab w:val="clear" w:pos="1060"/>
      </w:tabs>
    </w:pPr>
  </w:style>
  <w:style w:type="paragraph" w:customStyle="1" w:styleId="MarginNote">
    <w:name w:val="Margin Note"/>
    <w:basedOn w:val="BodyText"/>
    <w:rsid w:val="006652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52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52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52A5"/>
    <w:rPr>
      <w:sz w:val="32"/>
    </w:rPr>
  </w:style>
  <w:style w:type="paragraph" w:customStyle="1" w:styleId="HeadingProcedure">
    <w:name w:val="Heading Procedure"/>
    <w:basedOn w:val="HeadingBase"/>
    <w:next w:val="Normal"/>
    <w:rsid w:val="006652A5"/>
    <w:pPr>
      <w:tabs>
        <w:tab w:val="left" w:pos="0"/>
      </w:tabs>
      <w:spacing w:before="120" w:after="60"/>
    </w:pPr>
    <w:rPr>
      <w:i/>
      <w:color w:val="918585"/>
      <w:sz w:val="22"/>
    </w:rPr>
  </w:style>
  <w:style w:type="paragraph" w:customStyle="1" w:styleId="TableBodyText">
    <w:name w:val="Table Body Text"/>
    <w:basedOn w:val="BodyText"/>
    <w:rsid w:val="006652A5"/>
    <w:pPr>
      <w:spacing w:before="60" w:after="60"/>
    </w:pPr>
  </w:style>
  <w:style w:type="paragraph" w:styleId="ListContinue">
    <w:name w:val="List Continue"/>
    <w:basedOn w:val="List"/>
    <w:rsid w:val="006652A5"/>
    <w:pPr>
      <w:ind w:firstLine="0"/>
    </w:pPr>
  </w:style>
  <w:style w:type="paragraph" w:customStyle="1" w:styleId="ListNote">
    <w:name w:val="List Note"/>
    <w:basedOn w:val="List"/>
    <w:rsid w:val="006652A5"/>
    <w:pPr>
      <w:pBdr>
        <w:top w:val="single" w:sz="6" w:space="2" w:color="918585"/>
        <w:bottom w:val="single" w:sz="6" w:space="2" w:color="918585"/>
      </w:pBdr>
      <w:tabs>
        <w:tab w:val="left" w:pos="1021"/>
      </w:tabs>
      <w:ind w:firstLine="0"/>
    </w:pPr>
  </w:style>
  <w:style w:type="paragraph" w:customStyle="1" w:styleId="Warning">
    <w:name w:val="Warning"/>
    <w:basedOn w:val="BodyText"/>
    <w:rsid w:val="006652A5"/>
    <w:pPr>
      <w:shd w:val="clear" w:color="auto" w:fill="D9D9D9"/>
      <w:tabs>
        <w:tab w:val="left" w:pos="992"/>
      </w:tabs>
      <w:ind w:left="119" w:right="119"/>
    </w:pPr>
    <w:rPr>
      <w:sz w:val="20"/>
    </w:rPr>
  </w:style>
  <w:style w:type="paragraph" w:customStyle="1" w:styleId="MarginIcons">
    <w:name w:val="Margin Icons"/>
    <w:basedOn w:val="BodyText"/>
    <w:rsid w:val="006652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52A5"/>
    <w:rPr>
      <w:rFonts w:ascii="Courier New" w:hAnsi="Courier New"/>
    </w:rPr>
  </w:style>
  <w:style w:type="paragraph" w:customStyle="1" w:styleId="NoteBullet">
    <w:name w:val="Note Bullet"/>
    <w:basedOn w:val="Note"/>
    <w:rsid w:val="006652A5"/>
    <w:pPr>
      <w:tabs>
        <w:tab w:val="clear" w:pos="680"/>
      </w:tabs>
      <w:spacing w:before="60" w:after="60"/>
    </w:pPr>
  </w:style>
  <w:style w:type="paragraph" w:customStyle="1" w:styleId="SubHeading2">
    <w:name w:val="SubHeading2"/>
    <w:basedOn w:val="HeadingBase"/>
    <w:rsid w:val="006652A5"/>
    <w:pPr>
      <w:spacing w:before="240" w:after="60"/>
    </w:pPr>
    <w:rPr>
      <w:sz w:val="20"/>
    </w:rPr>
  </w:style>
  <w:style w:type="paragraph" w:customStyle="1" w:styleId="SubHeading1">
    <w:name w:val="SubHeading1"/>
    <w:basedOn w:val="HeadingBase"/>
    <w:rsid w:val="006652A5"/>
    <w:pPr>
      <w:spacing w:before="240" w:after="60"/>
    </w:pPr>
    <w:rPr>
      <w:color w:val="918585"/>
      <w:sz w:val="22"/>
    </w:rPr>
  </w:style>
  <w:style w:type="paragraph" w:customStyle="1" w:styleId="SideHeading">
    <w:name w:val="Side Heading"/>
    <w:basedOn w:val="HeadingBase"/>
    <w:rsid w:val="006652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52A5"/>
    <w:pPr>
      <w:numPr>
        <w:numId w:val="12"/>
      </w:numPr>
    </w:pPr>
  </w:style>
  <w:style w:type="paragraph" w:styleId="PlainText">
    <w:name w:val="Plain Text"/>
    <w:basedOn w:val="Normal"/>
    <w:link w:val="PlainTextChar"/>
    <w:rsid w:val="006652A5"/>
    <w:rPr>
      <w:sz w:val="20"/>
    </w:rPr>
  </w:style>
  <w:style w:type="character" w:customStyle="1" w:styleId="PlainTextChar">
    <w:name w:val="Plain Text Char"/>
    <w:basedOn w:val="DefaultParagraphFont"/>
    <w:link w:val="PlainText"/>
    <w:rsid w:val="006652A5"/>
    <w:rPr>
      <w:rFonts w:ascii="Courier New" w:eastAsia="Times New Roman" w:hAnsi="Courier New" w:cs="Times New Roman"/>
      <w:sz w:val="20"/>
      <w:szCs w:val="20"/>
      <w:lang w:eastAsia="en-US"/>
    </w:rPr>
  </w:style>
  <w:style w:type="character" w:customStyle="1" w:styleId="MenuOption">
    <w:name w:val="Menu Option"/>
    <w:basedOn w:val="DefaultParagraphFont"/>
    <w:rsid w:val="006652A5"/>
    <w:rPr>
      <w:b/>
      <w:smallCaps/>
    </w:rPr>
  </w:style>
  <w:style w:type="paragraph" w:customStyle="1" w:styleId="TableListNumber">
    <w:name w:val="Table List Number"/>
    <w:basedOn w:val="ListNumber"/>
    <w:rsid w:val="006652A5"/>
    <w:pPr>
      <w:numPr>
        <w:numId w:val="0"/>
      </w:numPr>
    </w:pPr>
  </w:style>
  <w:style w:type="paragraph" w:styleId="TOC4">
    <w:name w:val="toc 4"/>
    <w:basedOn w:val="TOCBase"/>
    <w:next w:val="Normal"/>
    <w:semiHidden/>
    <w:rsid w:val="006652A5"/>
    <w:pPr>
      <w:tabs>
        <w:tab w:val="right" w:leader="dot" w:pos="9071"/>
      </w:tabs>
      <w:ind w:left="1701"/>
    </w:pPr>
  </w:style>
  <w:style w:type="paragraph" w:customStyle="1" w:styleId="ListAlpha">
    <w:name w:val="List Alpha"/>
    <w:basedOn w:val="List"/>
    <w:rsid w:val="006652A5"/>
    <w:pPr>
      <w:numPr>
        <w:numId w:val="10"/>
      </w:numPr>
    </w:pPr>
  </w:style>
  <w:style w:type="paragraph" w:customStyle="1" w:styleId="ListAlpha2">
    <w:name w:val="List Alpha 2"/>
    <w:basedOn w:val="List2"/>
    <w:rsid w:val="006652A5"/>
    <w:pPr>
      <w:numPr>
        <w:numId w:val="9"/>
      </w:numPr>
    </w:pPr>
  </w:style>
  <w:style w:type="paragraph" w:styleId="List2">
    <w:name w:val="List 2"/>
    <w:basedOn w:val="BodyText"/>
    <w:rsid w:val="006652A5"/>
    <w:pPr>
      <w:tabs>
        <w:tab w:val="left" w:pos="680"/>
      </w:tabs>
      <w:spacing w:before="60" w:after="60"/>
      <w:ind w:left="680" w:hanging="340"/>
    </w:pPr>
  </w:style>
  <w:style w:type="paragraph" w:styleId="List3">
    <w:name w:val="List 3"/>
    <w:basedOn w:val="BodyText"/>
    <w:rsid w:val="006652A5"/>
    <w:pPr>
      <w:tabs>
        <w:tab w:val="left" w:pos="1021"/>
      </w:tabs>
      <w:spacing w:before="60" w:after="60"/>
      <w:ind w:left="1020" w:hanging="340"/>
    </w:pPr>
  </w:style>
  <w:style w:type="paragraph" w:styleId="List4">
    <w:name w:val="List 4"/>
    <w:basedOn w:val="BodyText"/>
    <w:rsid w:val="006652A5"/>
    <w:pPr>
      <w:tabs>
        <w:tab w:val="left" w:pos="1361"/>
      </w:tabs>
      <w:spacing w:before="60" w:after="60"/>
      <w:ind w:left="1361" w:hanging="340"/>
    </w:pPr>
  </w:style>
  <w:style w:type="paragraph" w:styleId="List5">
    <w:name w:val="List 5"/>
    <w:basedOn w:val="BodyText"/>
    <w:rsid w:val="006652A5"/>
    <w:pPr>
      <w:tabs>
        <w:tab w:val="left" w:pos="1701"/>
      </w:tabs>
      <w:spacing w:before="60" w:after="60"/>
      <w:ind w:left="1701" w:hanging="340"/>
    </w:pPr>
  </w:style>
  <w:style w:type="paragraph" w:styleId="ListBullet4">
    <w:name w:val="List Bullet 4"/>
    <w:basedOn w:val="List4"/>
    <w:rsid w:val="006652A5"/>
    <w:pPr>
      <w:numPr>
        <w:numId w:val="4"/>
      </w:numPr>
      <w:tabs>
        <w:tab w:val="clear" w:pos="1361"/>
      </w:tabs>
    </w:pPr>
  </w:style>
  <w:style w:type="paragraph" w:styleId="ListBullet5">
    <w:name w:val="List Bullet 5"/>
    <w:basedOn w:val="List5"/>
    <w:rsid w:val="006652A5"/>
    <w:pPr>
      <w:numPr>
        <w:numId w:val="5"/>
      </w:numPr>
    </w:pPr>
  </w:style>
  <w:style w:type="paragraph" w:styleId="ListContinue2">
    <w:name w:val="List Continue 2"/>
    <w:basedOn w:val="List2"/>
    <w:rsid w:val="006652A5"/>
    <w:pPr>
      <w:ind w:firstLine="0"/>
    </w:pPr>
  </w:style>
  <w:style w:type="paragraph" w:styleId="ListContinue3">
    <w:name w:val="List Continue 3"/>
    <w:basedOn w:val="List3"/>
    <w:rsid w:val="006652A5"/>
    <w:pPr>
      <w:ind w:left="1021" w:firstLine="0"/>
    </w:pPr>
  </w:style>
  <w:style w:type="paragraph" w:styleId="ListContinue4">
    <w:name w:val="List Continue 4"/>
    <w:basedOn w:val="List4"/>
    <w:rsid w:val="006652A5"/>
    <w:pPr>
      <w:ind w:firstLine="0"/>
    </w:pPr>
  </w:style>
  <w:style w:type="paragraph" w:styleId="ListContinue5">
    <w:name w:val="List Continue 5"/>
    <w:basedOn w:val="List5"/>
    <w:rsid w:val="006652A5"/>
    <w:pPr>
      <w:ind w:firstLine="0"/>
    </w:pPr>
  </w:style>
  <w:style w:type="paragraph" w:styleId="ListNumber3">
    <w:name w:val="List Number 3"/>
    <w:basedOn w:val="List3"/>
    <w:rsid w:val="006652A5"/>
    <w:pPr>
      <w:numPr>
        <w:numId w:val="6"/>
      </w:numPr>
    </w:pPr>
  </w:style>
  <w:style w:type="paragraph" w:styleId="ListNumber4">
    <w:name w:val="List Number 4"/>
    <w:basedOn w:val="List4"/>
    <w:rsid w:val="006652A5"/>
    <w:pPr>
      <w:numPr>
        <w:numId w:val="7"/>
      </w:numPr>
    </w:pPr>
  </w:style>
  <w:style w:type="paragraph" w:styleId="ListNumber5">
    <w:name w:val="List Number 5"/>
    <w:basedOn w:val="List5"/>
    <w:rsid w:val="006652A5"/>
    <w:pPr>
      <w:numPr>
        <w:numId w:val="8"/>
      </w:numPr>
    </w:pPr>
  </w:style>
  <w:style w:type="paragraph" w:styleId="BlockText">
    <w:name w:val="Block Text"/>
    <w:basedOn w:val="Normal"/>
    <w:rsid w:val="006652A5"/>
    <w:pPr>
      <w:spacing w:after="120"/>
      <w:ind w:left="1440" w:right="1440"/>
    </w:pPr>
  </w:style>
  <w:style w:type="character" w:customStyle="1" w:styleId="Subscript">
    <w:name w:val="Subscript"/>
    <w:basedOn w:val="DefaultParagraphFont"/>
    <w:rsid w:val="006652A5"/>
    <w:rPr>
      <w:sz w:val="16"/>
      <w:vertAlign w:val="subscript"/>
    </w:rPr>
  </w:style>
  <w:style w:type="character" w:customStyle="1" w:styleId="Superscript">
    <w:name w:val="Superscript"/>
    <w:basedOn w:val="DefaultParagraphFont"/>
    <w:rsid w:val="006652A5"/>
    <w:rPr>
      <w:sz w:val="16"/>
      <w:vertAlign w:val="superscript"/>
    </w:rPr>
  </w:style>
  <w:style w:type="character" w:customStyle="1" w:styleId="Symbols">
    <w:name w:val="Symbols"/>
    <w:basedOn w:val="DefaultParagraphFont"/>
    <w:rsid w:val="006652A5"/>
    <w:rPr>
      <w:rFonts w:ascii="Symbol" w:hAnsi="Symbol"/>
    </w:rPr>
  </w:style>
  <w:style w:type="character" w:customStyle="1" w:styleId="MenuOptions">
    <w:name w:val="Menu Options"/>
    <w:basedOn w:val="DefaultParagraphFont"/>
    <w:rsid w:val="006652A5"/>
    <w:rPr>
      <w:rFonts w:ascii="Arial Narrow" w:hAnsi="Arial Narrow"/>
      <w:smallCaps/>
    </w:rPr>
  </w:style>
  <w:style w:type="character" w:customStyle="1" w:styleId="Buttons">
    <w:name w:val="Buttons"/>
    <w:basedOn w:val="DefaultParagraphFont"/>
    <w:rsid w:val="006652A5"/>
    <w:rPr>
      <w:b/>
    </w:rPr>
  </w:style>
  <w:style w:type="character" w:customStyle="1" w:styleId="Underlined">
    <w:name w:val="Underlined"/>
    <w:basedOn w:val="DefaultParagraphFont"/>
    <w:rsid w:val="006652A5"/>
    <w:rPr>
      <w:u w:val="single"/>
    </w:rPr>
  </w:style>
  <w:style w:type="paragraph" w:customStyle="1" w:styleId="TableBodyTextRight">
    <w:name w:val="Table Body Text Right"/>
    <w:basedOn w:val="TableBodyText"/>
    <w:rsid w:val="006652A5"/>
    <w:pPr>
      <w:widowControl w:val="0"/>
      <w:autoSpaceDE w:val="0"/>
      <w:autoSpaceDN w:val="0"/>
      <w:adjustRightInd w:val="0"/>
      <w:jc w:val="right"/>
    </w:pPr>
    <w:rPr>
      <w:rFonts w:cs="Arial"/>
      <w:szCs w:val="18"/>
    </w:rPr>
  </w:style>
  <w:style w:type="paragraph" w:customStyle="1" w:styleId="CopyrightText">
    <w:name w:val="Copyright Text"/>
    <w:basedOn w:val="BodyText"/>
    <w:rsid w:val="006652A5"/>
    <w:rPr>
      <w:sz w:val="18"/>
    </w:rPr>
  </w:style>
  <w:style w:type="paragraph" w:customStyle="1" w:styleId="BodySmallRight">
    <w:name w:val="Body Small Right"/>
    <w:basedOn w:val="BodyTextRight"/>
    <w:rsid w:val="006652A5"/>
    <w:rPr>
      <w:sz w:val="18"/>
      <w:szCs w:val="18"/>
    </w:rPr>
  </w:style>
  <w:style w:type="paragraph" w:customStyle="1" w:styleId="MarginEdition">
    <w:name w:val="Margin Edition"/>
    <w:basedOn w:val="MarginNote"/>
    <w:rsid w:val="006652A5"/>
    <w:pPr>
      <w:spacing w:before="0" w:after="0"/>
    </w:pPr>
    <w:rPr>
      <w:rFonts w:ascii="Times New Roman" w:hAnsi="Times New Roman"/>
      <w:color w:val="999999"/>
    </w:rPr>
  </w:style>
  <w:style w:type="paragraph" w:customStyle="1" w:styleId="Spacer">
    <w:name w:val="Spacer"/>
    <w:basedOn w:val="Normal"/>
    <w:rsid w:val="006652A5"/>
    <w:rPr>
      <w:sz w:val="2"/>
      <w:szCs w:val="2"/>
    </w:rPr>
  </w:style>
  <w:style w:type="character" w:customStyle="1" w:styleId="Small">
    <w:name w:val="Small"/>
    <w:basedOn w:val="DefaultParagraphFont"/>
    <w:rsid w:val="006652A5"/>
    <w:rPr>
      <w:sz w:val="16"/>
    </w:rPr>
  </w:style>
  <w:style w:type="paragraph" w:customStyle="1" w:styleId="WideTable">
    <w:name w:val="Wide Table"/>
    <w:basedOn w:val="Normal"/>
    <w:rsid w:val="006652A5"/>
    <w:pPr>
      <w:ind w:left="-1418"/>
    </w:pPr>
    <w:rPr>
      <w:sz w:val="2"/>
      <w:szCs w:val="2"/>
    </w:rPr>
  </w:style>
  <w:style w:type="character" w:styleId="PageNumber">
    <w:name w:val="page number"/>
    <w:basedOn w:val="DefaultParagraphFont"/>
    <w:rsid w:val="006652A5"/>
  </w:style>
  <w:style w:type="paragraph" w:styleId="Quote">
    <w:name w:val="Quote"/>
    <w:basedOn w:val="Heading1"/>
    <w:link w:val="QuoteChar"/>
    <w:qFormat/>
    <w:rsid w:val="006652A5"/>
    <w:rPr>
      <w:b w:val="0"/>
      <w:sz w:val="72"/>
      <w:szCs w:val="72"/>
      <w:lang w:val="en-NZ"/>
    </w:rPr>
  </w:style>
  <w:style w:type="character" w:customStyle="1" w:styleId="QuoteChar">
    <w:name w:val="Quote Char"/>
    <w:basedOn w:val="DefaultParagraphFont"/>
    <w:link w:val="Quote"/>
    <w:rsid w:val="006652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52A5"/>
    <w:pPr>
      <w:pageBreakBefore/>
    </w:pPr>
  </w:style>
  <w:style w:type="paragraph" w:customStyle="1" w:styleId="Border">
    <w:name w:val="Border"/>
    <w:basedOn w:val="Normal"/>
    <w:qFormat/>
    <w:rsid w:val="006652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52A5"/>
    <w:rPr>
      <w:b/>
      <w:bCs/>
      <w:i/>
      <w:iCs/>
      <w:color w:val="auto"/>
    </w:rPr>
  </w:style>
  <w:style w:type="paragraph" w:styleId="IntenseQuote">
    <w:name w:val="Intense Quote"/>
    <w:basedOn w:val="Normal"/>
    <w:next w:val="Normal"/>
    <w:link w:val="IntenseQuoteChar"/>
    <w:uiPriority w:val="30"/>
    <w:qFormat/>
    <w:rsid w:val="006652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52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52A5"/>
    <w:rPr>
      <w:smallCaps/>
      <w:color w:val="auto"/>
      <w:u w:val="single"/>
    </w:rPr>
  </w:style>
  <w:style w:type="character" w:styleId="IntenseReference">
    <w:name w:val="Intense Reference"/>
    <w:basedOn w:val="DefaultParagraphFont"/>
    <w:uiPriority w:val="32"/>
    <w:qFormat/>
    <w:rsid w:val="006652A5"/>
    <w:rPr>
      <w:b/>
      <w:bCs/>
      <w:smallCaps/>
      <w:color w:val="auto"/>
      <w:spacing w:val="5"/>
      <w:u w:val="single"/>
    </w:rPr>
  </w:style>
  <w:style w:type="paragraph" w:customStyle="1" w:styleId="2ColumnHeading">
    <w:name w:val="2Column Heading"/>
    <w:basedOn w:val="BodyText"/>
    <w:qFormat/>
    <w:rsid w:val="006652A5"/>
    <w:pPr>
      <w:spacing w:after="60"/>
      <w:ind w:left="-2268"/>
    </w:pPr>
    <w:rPr>
      <w:b/>
    </w:rPr>
  </w:style>
  <w:style w:type="paragraph" w:customStyle="1" w:styleId="Heading1TOC">
    <w:name w:val="Heading1 TOC"/>
    <w:basedOn w:val="Normal"/>
    <w:qFormat/>
    <w:rsid w:val="006652A5"/>
    <w:pPr>
      <w:spacing w:before="240" w:after="120"/>
    </w:pPr>
    <w:rPr>
      <w:rFonts w:ascii="Times New Roman" w:hAnsi="Times New Roman"/>
      <w:b/>
      <w:sz w:val="32"/>
    </w:rPr>
  </w:style>
  <w:style w:type="paragraph" w:customStyle="1" w:styleId="Heading2TOC">
    <w:name w:val="Heading2 TOC"/>
    <w:basedOn w:val="Normal"/>
    <w:qFormat/>
    <w:rsid w:val="006652A5"/>
    <w:pPr>
      <w:spacing w:before="240" w:after="60"/>
    </w:pPr>
    <w:rPr>
      <w:rFonts w:ascii="Times New Roman" w:hAnsi="Times New Roman"/>
      <w:b/>
      <w:sz w:val="28"/>
    </w:rPr>
  </w:style>
  <w:style w:type="character" w:customStyle="1" w:styleId="Underline">
    <w:name w:val="Underline"/>
    <w:basedOn w:val="DefaultParagraphFont"/>
    <w:qFormat/>
    <w:rsid w:val="006652A5"/>
    <w:rPr>
      <w:u w:val="single"/>
    </w:rPr>
  </w:style>
  <w:style w:type="character" w:customStyle="1" w:styleId="BoldandItalics">
    <w:name w:val="Bold and Italics"/>
    <w:qFormat/>
    <w:rsid w:val="006652A5"/>
    <w:rPr>
      <w:b/>
      <w:i/>
      <w:u w:val="none"/>
    </w:rPr>
  </w:style>
  <w:style w:type="paragraph" w:styleId="BalloonText">
    <w:name w:val="Balloon Text"/>
    <w:basedOn w:val="Normal"/>
    <w:link w:val="BalloonTextChar"/>
    <w:rsid w:val="006652A5"/>
    <w:rPr>
      <w:rFonts w:ascii="Tahoma" w:hAnsi="Tahoma" w:cs="Tahoma"/>
      <w:sz w:val="16"/>
      <w:szCs w:val="16"/>
    </w:rPr>
  </w:style>
  <w:style w:type="character" w:customStyle="1" w:styleId="BalloonTextChar">
    <w:name w:val="Balloon Text Char"/>
    <w:basedOn w:val="DefaultParagraphFont"/>
    <w:link w:val="BalloonText"/>
    <w:rsid w:val="006652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52A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52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52A5"/>
    <w:rPr>
      <w:b/>
      <w:color w:val="660033"/>
      <w:spacing w:val="0"/>
    </w:rPr>
  </w:style>
  <w:style w:type="paragraph" w:customStyle="1" w:styleId="Nameditemlist">
    <w:name w:val="Named item list"/>
    <w:basedOn w:val="BodyText"/>
    <w:qFormat/>
    <w:rsid w:val="006652A5"/>
    <w:pPr>
      <w:tabs>
        <w:tab w:val="left" w:pos="2835"/>
      </w:tabs>
      <w:ind w:left="2835" w:hanging="2835"/>
    </w:pPr>
  </w:style>
  <w:style w:type="paragraph" w:customStyle="1" w:styleId="BodyTextnopadding">
    <w:name w:val="Body Text no padding"/>
    <w:basedOn w:val="BodyText"/>
    <w:qFormat/>
    <w:rsid w:val="006652A5"/>
    <w:pPr>
      <w:spacing w:before="0" w:after="0"/>
    </w:pPr>
  </w:style>
  <w:style w:type="paragraph" w:customStyle="1" w:styleId="BodyTextBold">
    <w:name w:val="Body Text Bold"/>
    <w:basedOn w:val="BodyText"/>
    <w:qFormat/>
    <w:rsid w:val="006652A5"/>
    <w:rPr>
      <w:b/>
    </w:rPr>
  </w:style>
  <w:style w:type="character" w:styleId="Hyperlink">
    <w:name w:val="Hyperlink"/>
    <w:basedOn w:val="DefaultParagraphFont"/>
    <w:uiPriority w:val="99"/>
    <w:unhideWhenUsed/>
    <w:rsid w:val="001F4C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1250</Words>
  <Characters>7977</Characters>
  <Application>Microsoft Office Word</Application>
  <DocSecurity>0</DocSecurity>
  <Lines>332</Lines>
  <Paragraphs>184</Paragraphs>
  <ScaleCrop>false</ScaleCrop>
  <Company>Author-it Software Corporation Ltd.</Company>
  <LinksUpToDate>false</LinksUpToDate>
  <CharactersWithSpaces>9043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CPCCPD3033 Apply intumescent coatings</dc:title>
  <dc:subject>Approved</dc:subject>
  <dc:creator>BuildSkills Australia</dc:creator>
  <cp:keywords>Release: 3</cp:keywords>
  <dc:description>Review Date: 12 April 2008</dc:description>
  <cp:lastModifiedBy>HSD_TPCMSd.prod</cp:lastModifiedBy>
  <cp:revision>3</cp:revision>
  <dcterms:created xsi:type="dcterms:W3CDTF">2025-03-02T00:54:00Z</dcterms:created>
  <dcterms:modified xsi:type="dcterms:W3CDTF">2025-03-02T00:54:00Z</dcterms:modified>
</cp:coreProperties>
</file>