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B95" w:rsidP="00172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CPCCPD3032 Apply advanced wall coverings</w:t>
      </w:r>
      <w:r>
        <w:fldChar w:fldCharType="end"/>
      </w:r>
    </w:p>
    <w:p w:rsidR="00172B95" w:rsidP="00172B95">
      <w:pPr>
        <w:pStyle w:val="Version"/>
        <w:sectPr w:rsidSect="000D2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D2D95" w:rsidP="000D2D95">
      <w:pPr>
        <w:pStyle w:val="SuperHeading"/>
      </w:pPr>
      <w:r w:rsidRPr="000D2D95">
        <w:t>Assessment Requirements for CPCCPD3032 Apply advanced wall coverings</w:t>
      </w:r>
    </w:p>
    <w:p w:rsidR="00000000" w:rsidRPr="000D2D95" w:rsidP="000D2D95">
      <w:pPr>
        <w:pStyle w:val="Heading1"/>
      </w:pPr>
      <w:bookmarkStart w:id="1" w:name="O_1292792"/>
      <w:bookmarkEnd w:id="1"/>
      <w:r w:rsidRPr="000D2D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D2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95">
            <w:pPr>
              <w:pStyle w:val="BodyText"/>
              <w:rPr>
                <w:lang w:val="en-NZ"/>
              </w:rPr>
            </w:pPr>
            <w:r w:rsidRPr="000D2D9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95">
            <w:pPr>
              <w:pStyle w:val="BodyText"/>
              <w:rPr>
                <w:lang w:val="en-NZ"/>
              </w:rPr>
            </w:pPr>
            <w:r w:rsidRPr="000D2D95">
              <w:t>Updated reference to general construction induction training program.</w:t>
            </w:r>
          </w:p>
        </w:tc>
      </w:tr>
      <w:tr w:rsidTr="000D2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95">
            <w:pPr>
              <w:pStyle w:val="BodyText"/>
              <w:rPr>
                <w:lang w:val="en-NZ"/>
              </w:rPr>
            </w:pPr>
            <w:r w:rsidRPr="000D2D9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95" w:rsidP="000D2D95">
            <w:pPr>
              <w:pStyle w:val="BodyText"/>
            </w:pPr>
            <w:r w:rsidRPr="000D2D95">
              <w:t>This version first released with CPC Construction, Plumbing and Services Training Package Release 6.4.</w:t>
            </w:r>
          </w:p>
          <w:p w:rsidR="00000000" w:rsidP="000D2D95">
            <w:pPr>
              <w:pStyle w:val="BodyText"/>
              <w:rPr>
                <w:lang w:val="en-NZ"/>
              </w:rPr>
            </w:pPr>
            <w:r w:rsidRPr="000D2D95">
              <w:t>Correction to Training Package title in the Modification History from CPC Property Services to CPC Construction, Plumbing and Services Training Package.</w:t>
            </w:r>
          </w:p>
        </w:tc>
      </w:tr>
      <w:tr w:rsidTr="000D2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D95">
            <w:pPr>
              <w:pStyle w:val="BodyText"/>
              <w:rPr>
                <w:lang w:val="en-NZ"/>
              </w:rPr>
            </w:pPr>
            <w:r w:rsidRPr="000D2D9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D95" w:rsidP="000D2D95">
            <w:pPr>
              <w:pStyle w:val="BodyText"/>
            </w:pPr>
            <w:r w:rsidRPr="000D2D95">
              <w:t>This version first released with CPC Property Services Training Package Release 5.0.</w:t>
            </w:r>
          </w:p>
          <w:p w:rsidR="00000000" w:rsidRPr="000D2D95" w:rsidP="000D2D95">
            <w:pPr>
              <w:pStyle w:val="BodyText"/>
            </w:pPr>
            <w:r w:rsidRPr="000D2D95">
              <w:t>Supersedes and is equivalent to CPCCPD3032A Apply advanced wallpaper techniques.  Title change.  Updated to meet the Standards for Training Packages 2012.</w:t>
            </w:r>
          </w:p>
        </w:tc>
      </w:tr>
    </w:tbl>
    <w:p w:rsidR="00000000" w:rsidRPr="000D2D95" w:rsidP="000D2D95">
      <w:pPr>
        <w:pStyle w:val="BodyText"/>
      </w:pPr>
    </w:p>
    <w:p w:rsidR="00000000" w:rsidRPr="000D2D95" w:rsidP="000D2D95">
      <w:pPr>
        <w:pStyle w:val="AllowPageBreak"/>
      </w:pPr>
    </w:p>
    <w:p w:rsidR="00000000" w:rsidRPr="000D2D95" w:rsidP="000D2D95">
      <w:pPr>
        <w:pStyle w:val="Heading1"/>
      </w:pPr>
      <w:bookmarkStart w:id="2" w:name="O_1292791"/>
      <w:bookmarkEnd w:id="2"/>
      <w:r w:rsidRPr="000D2D95">
        <w:t>Performance Evidence</w:t>
      </w:r>
    </w:p>
    <w:p w:rsidR="00000000" w:rsidRPr="000D2D95" w:rsidP="00172B95">
      <w:pPr>
        <w:pStyle w:val="BodyText"/>
      </w:pPr>
      <w:r w:rsidRPr="000D2D95">
        <w:t>To demonstrate competency, a candidate must meet the performance criteria of this unit by applying wall coverings for a minimum of two tasks, each for at least six square metres, including:</w:t>
      </w:r>
    </w:p>
    <w:p w:rsidR="00000000" w:rsidRPr="000D2D95" w:rsidP="000D2D95">
      <w:pPr>
        <w:pStyle w:val="ListBullet"/>
      </w:pPr>
      <w:r w:rsidRPr="000D2D95">
        <w:t xml:space="preserve">one anaglypta </w:t>
      </w:r>
    </w:p>
    <w:p w:rsidR="00000000" w:rsidRPr="000D2D95" w:rsidP="000D2D95">
      <w:pPr>
        <w:pStyle w:val="ListBullet"/>
      </w:pPr>
      <w:r w:rsidRPr="000D2D95">
        <w:t>one wall covering requiring double-cutting on surfaces containing power points, vents and switches from the following -</w:t>
      </w:r>
    </w:p>
    <w:p w:rsidR="00000000" w:rsidRPr="000D2D95" w:rsidP="000D2D95">
      <w:pPr>
        <w:pStyle w:val="ListBullet2"/>
      </w:pPr>
      <w:r w:rsidRPr="000D2D95">
        <w:t>suede grass weaves</w:t>
      </w:r>
    </w:p>
    <w:p w:rsidR="00000000" w:rsidRPr="000D2D95" w:rsidP="000D2D95">
      <w:pPr>
        <w:pStyle w:val="ListBullet2"/>
      </w:pPr>
      <w:r w:rsidRPr="000D2D95">
        <w:t xml:space="preserve">other commercial grade materials </w:t>
      </w:r>
    </w:p>
    <w:p w:rsidR="00000000" w:rsidRPr="000D2D95" w:rsidP="000D2D95">
      <w:pPr>
        <w:pStyle w:val="ListBullet2"/>
      </w:pPr>
      <w:r w:rsidRPr="000D2D95">
        <w:t>frontrunner</w:t>
      </w:r>
    </w:p>
    <w:p w:rsidR="00000000" w:rsidRPr="000D2D95" w:rsidP="000D2D95">
      <w:pPr>
        <w:pStyle w:val="ListBullet2"/>
      </w:pPr>
      <w:r w:rsidRPr="000D2D95">
        <w:t>linen backed vinyl</w:t>
      </w:r>
    </w:p>
    <w:p w:rsidR="00000000" w:rsidRPr="000D2D95" w:rsidP="000D2D95">
      <w:pPr>
        <w:pStyle w:val="ListBullet2"/>
      </w:pPr>
      <w:r w:rsidRPr="000D2D95">
        <w:t>flock</w:t>
      </w:r>
    </w:p>
    <w:p w:rsidR="00000000" w:rsidRPr="000D2D95" w:rsidP="000D2D95">
      <w:pPr>
        <w:pStyle w:val="ListBullet2"/>
      </w:pPr>
      <w:r w:rsidRPr="000D2D95">
        <w:t>lyncrusta</w:t>
      </w:r>
    </w:p>
    <w:p w:rsidR="00000000" w:rsidRPr="000D2D95" w:rsidP="000D2D95">
      <w:pPr>
        <w:pStyle w:val="ListBullet2"/>
      </w:pPr>
      <w:r w:rsidRPr="000D2D95">
        <w:t>metallic foils</w:t>
      </w:r>
    </w:p>
    <w:p w:rsidR="00000000" w:rsidRPr="000D2D95" w:rsidP="000D2D95">
      <w:pPr>
        <w:pStyle w:val="ListBullet2"/>
      </w:pPr>
      <w:r w:rsidRPr="000D2D95">
        <w:t>photo murals</w:t>
      </w:r>
    </w:p>
    <w:p w:rsidR="00000000" w:rsidRPr="000D2D95" w:rsidP="00172B95">
      <w:pPr>
        <w:pStyle w:val="BodyText"/>
      </w:pPr>
      <w:r w:rsidRPr="000D2D95">
        <w:t>In perf</w:t>
      </w:r>
      <w:r w:rsidRPr="000D2D95">
        <w:t>orming these tasks, the adhesives used can be cellulose, latex, polyvinyl alcohol (PVA) or starch.</w:t>
      </w:r>
    </w:p>
    <w:p w:rsidR="00000000" w:rsidRPr="000D2D95" w:rsidP="00172B95">
      <w:pPr>
        <w:pStyle w:val="BodyText"/>
      </w:pPr>
      <w:r w:rsidRPr="000D2D95">
        <w:t>All work must be performed to the standard required in the workplace and must meet the requirements of work health and safety (WHS), Commonwealth and state o</w:t>
      </w:r>
      <w:r w:rsidRPr="000D2D95">
        <w:t>r territory legislation, manufacturers’ specifications, and environmental plans and obligations.</w:t>
      </w:r>
    </w:p>
    <w:p w:rsidR="00000000" w:rsidRPr="000D2D95" w:rsidP="000D2D95">
      <w:pPr>
        <w:pStyle w:val="Heading1"/>
      </w:pPr>
      <w:bookmarkStart w:id="3" w:name="O_1292790"/>
      <w:bookmarkEnd w:id="3"/>
      <w:r w:rsidRPr="000D2D95">
        <w:t>Knowledge Evidence</w:t>
      </w:r>
    </w:p>
    <w:p w:rsidR="00000000" w:rsidRPr="000D2D95" w:rsidP="00172B95">
      <w:pPr>
        <w:pStyle w:val="BodyText"/>
      </w:pPr>
      <w:r w:rsidRPr="000D2D95">
        <w:t>To be competent in this unit, a candidate must demonstrate knowledge of:</w:t>
      </w:r>
    </w:p>
    <w:p w:rsidR="00000000" w:rsidRPr="000D2D95" w:rsidP="000D2D95">
      <w:pPr>
        <w:pStyle w:val="ListBullet"/>
      </w:pPr>
      <w:r w:rsidRPr="000D2D95">
        <w:t>safety requirements relevant to applying wall coverings</w:t>
      </w:r>
    </w:p>
    <w:p w:rsidR="00000000" w:rsidRPr="000D2D95" w:rsidP="000D2D95">
      <w:pPr>
        <w:pStyle w:val="ListBullet"/>
      </w:pPr>
      <w:r w:rsidRPr="000D2D95">
        <w:t xml:space="preserve">environmental requirements relevant to applying advanced wall coverings </w:t>
      </w:r>
    </w:p>
    <w:p w:rsidR="00000000" w:rsidRPr="000D2D95" w:rsidP="000D2D95">
      <w:pPr>
        <w:pStyle w:val="ListBullet"/>
      </w:pPr>
      <w:r w:rsidRPr="000D2D95">
        <w:t>common wall covering defects</w:t>
      </w:r>
    </w:p>
    <w:p w:rsidR="00000000" w:rsidRPr="000D2D95" w:rsidP="000D2D95">
      <w:pPr>
        <w:pStyle w:val="ListBullet"/>
      </w:pPr>
      <w:r w:rsidRPr="000D2D95">
        <w:t>compatibility of preparatory materials and wall coverings</w:t>
      </w:r>
    </w:p>
    <w:p w:rsidR="00000000" w:rsidRPr="000D2D95" w:rsidP="000D2D95">
      <w:pPr>
        <w:pStyle w:val="ListBullet"/>
      </w:pPr>
      <w:r w:rsidRPr="000D2D95">
        <w:t>plans, drawings and specifications relev</w:t>
      </w:r>
      <w:r w:rsidRPr="000D2D95">
        <w:t xml:space="preserve">ant to applying wall coverings </w:t>
      </w:r>
    </w:p>
    <w:p w:rsidR="00000000" w:rsidRPr="000D2D95" w:rsidP="000D2D95">
      <w:pPr>
        <w:pStyle w:val="ListBullet"/>
      </w:pPr>
      <w:r w:rsidRPr="000D2D95">
        <w:t>procedures used to apply straight pattern match, drop pattern match and random match wall coverings</w:t>
      </w:r>
    </w:p>
    <w:p w:rsidR="00000000" w:rsidRPr="000D2D95" w:rsidP="000D2D95">
      <w:pPr>
        <w:pStyle w:val="ListBullet"/>
      </w:pPr>
      <w:r w:rsidRPr="000D2D95">
        <w:t>processes for the calculation of material requirements relevant to applying advanced wall coverings techniques</w:t>
      </w:r>
    </w:p>
    <w:p w:rsidR="00000000" w:rsidRPr="000D2D95" w:rsidP="000D2D95">
      <w:pPr>
        <w:pStyle w:val="ListBullet"/>
      </w:pPr>
      <w:r w:rsidRPr="000D2D95">
        <w:t>quality requi</w:t>
      </w:r>
      <w:r w:rsidRPr="000D2D95">
        <w:t>rements relevant to applying advanced wall coverings techniques</w:t>
      </w:r>
    </w:p>
    <w:p w:rsidR="00000000" w:rsidRPr="000D2D95" w:rsidP="000D2D95">
      <w:pPr>
        <w:pStyle w:val="ListBullet"/>
      </w:pPr>
      <w:r w:rsidRPr="000D2D95">
        <w:t>surface preparation techniques for the application of wall coverings and specialty materials</w:t>
      </w:r>
    </w:p>
    <w:p w:rsidR="00000000" w:rsidRPr="000D2D95" w:rsidP="000D2D95">
      <w:pPr>
        <w:pStyle w:val="ListBullet"/>
      </w:pPr>
      <w:r w:rsidRPr="000D2D95">
        <w:t>types and properties of wall coverings and their suitability to various substrates</w:t>
      </w:r>
    </w:p>
    <w:p w:rsidR="00000000" w:rsidRPr="000D2D95" w:rsidP="000D2D95">
      <w:pPr>
        <w:pStyle w:val="ListBullet"/>
      </w:pPr>
      <w:r w:rsidRPr="000D2D95">
        <w:t xml:space="preserve">types, uses and </w:t>
      </w:r>
      <w:r w:rsidRPr="000D2D95">
        <w:t>limitations of commonly used adhesives relevant to applying advanced wall coverings techniques</w:t>
      </w:r>
    </w:p>
    <w:p w:rsidR="00000000" w:rsidRPr="000D2D95" w:rsidP="000D2D95">
      <w:pPr>
        <w:pStyle w:val="ListBullet"/>
      </w:pPr>
      <w:r w:rsidRPr="000D2D95">
        <w:t>wall coverings hanging processes and techniques</w:t>
      </w:r>
    </w:p>
    <w:p w:rsidR="00000000" w:rsidRPr="000D2D95" w:rsidP="000D2D95">
      <w:pPr>
        <w:pStyle w:val="ListBullet"/>
      </w:pPr>
      <w:r w:rsidRPr="000D2D95">
        <w:t>types of wall coverings and specialty materials:</w:t>
      </w:r>
    </w:p>
    <w:p w:rsidR="00000000" w:rsidRPr="000D2D95" w:rsidP="000D2D95">
      <w:pPr>
        <w:pStyle w:val="ListBullet2"/>
      </w:pPr>
      <w:r w:rsidRPr="000D2D95">
        <w:t>anaglypta</w:t>
      </w:r>
    </w:p>
    <w:p w:rsidR="00000000" w:rsidRPr="000D2D95" w:rsidP="000D2D95">
      <w:pPr>
        <w:pStyle w:val="ListBullet2"/>
      </w:pPr>
      <w:r w:rsidRPr="000D2D95">
        <w:t>flock</w:t>
      </w:r>
    </w:p>
    <w:p w:rsidR="00000000" w:rsidRPr="000D2D95" w:rsidP="000D2D95">
      <w:pPr>
        <w:pStyle w:val="ListBullet2"/>
      </w:pPr>
      <w:r w:rsidRPr="000D2D95">
        <w:t>frontrunner</w:t>
      </w:r>
    </w:p>
    <w:p w:rsidR="00000000" w:rsidRPr="000D2D95" w:rsidP="000D2D95">
      <w:pPr>
        <w:pStyle w:val="ListBullet2"/>
      </w:pPr>
      <w:r w:rsidRPr="000D2D95">
        <w:t>linen backed vinyl</w:t>
      </w:r>
    </w:p>
    <w:p w:rsidR="00000000" w:rsidRPr="000D2D95" w:rsidP="000D2D95">
      <w:pPr>
        <w:pStyle w:val="ListBullet2"/>
      </w:pPr>
      <w:r w:rsidRPr="000D2D95">
        <w:t>lyncrusta</w:t>
      </w:r>
    </w:p>
    <w:p w:rsidR="00000000" w:rsidRPr="000D2D95" w:rsidP="000D2D95">
      <w:pPr>
        <w:pStyle w:val="ListBullet2"/>
      </w:pPr>
      <w:r w:rsidRPr="000D2D95">
        <w:t>metallic foils</w:t>
      </w:r>
    </w:p>
    <w:p w:rsidR="00000000" w:rsidRPr="000D2D95" w:rsidP="000D2D95">
      <w:pPr>
        <w:pStyle w:val="ListBullet2"/>
      </w:pPr>
      <w:r w:rsidRPr="000D2D95">
        <w:t>photo murals</w:t>
      </w:r>
    </w:p>
    <w:p w:rsidR="00000000" w:rsidRPr="000D2D95" w:rsidP="000D2D95">
      <w:pPr>
        <w:pStyle w:val="ListBullet2"/>
      </w:pPr>
      <w:r w:rsidRPr="000D2D95">
        <w:t>suede grass weaves</w:t>
      </w:r>
    </w:p>
    <w:p w:rsidR="00000000" w:rsidRPr="000D2D95" w:rsidP="000D2D95">
      <w:pPr>
        <w:pStyle w:val="ListBullet2"/>
      </w:pPr>
      <w:r w:rsidRPr="000D2D95">
        <w:t>other commercial grade materials</w:t>
      </w:r>
    </w:p>
    <w:p w:rsidR="00000000" w:rsidRPr="000D2D95" w:rsidP="000D2D95">
      <w:pPr>
        <w:pStyle w:val="ListBullet"/>
      </w:pPr>
      <w:r w:rsidRPr="000D2D95">
        <w:t>types of wall coverings adhesives:</w:t>
      </w:r>
    </w:p>
    <w:p w:rsidR="00000000" w:rsidRPr="000D2D95" w:rsidP="000D2D95">
      <w:pPr>
        <w:pStyle w:val="ListBullet2"/>
      </w:pPr>
      <w:r w:rsidRPr="000D2D95">
        <w:t>cellulose</w:t>
      </w:r>
    </w:p>
    <w:p w:rsidR="00000000" w:rsidRPr="000D2D95" w:rsidP="000D2D95">
      <w:pPr>
        <w:pStyle w:val="ListBullet2"/>
      </w:pPr>
      <w:r w:rsidRPr="000D2D95">
        <w:t>latex</w:t>
      </w:r>
    </w:p>
    <w:p w:rsidR="00000000" w:rsidRPr="000D2D95" w:rsidP="000D2D95">
      <w:pPr>
        <w:pStyle w:val="ListBullet2"/>
      </w:pPr>
      <w:r w:rsidRPr="000D2D95">
        <w:t>polyvinyl acetate (PVA)</w:t>
      </w:r>
    </w:p>
    <w:p w:rsidR="00000000" w:rsidRPr="000D2D95" w:rsidP="000D2D95">
      <w:pPr>
        <w:pStyle w:val="ListBullet2"/>
      </w:pPr>
      <w:r w:rsidRPr="000D2D95">
        <w:t>starch</w:t>
      </w:r>
    </w:p>
    <w:p w:rsidR="00000000" w:rsidRPr="000D2D95" w:rsidP="000D2D95">
      <w:pPr>
        <w:pStyle w:val="ListBullet2"/>
      </w:pPr>
      <w:r w:rsidRPr="000D2D95">
        <w:t>other special adhesive blends</w:t>
      </w:r>
    </w:p>
    <w:p w:rsidR="00000000" w:rsidRPr="000D2D95" w:rsidP="000D2D95">
      <w:pPr>
        <w:pStyle w:val="ListBullet"/>
      </w:pPr>
      <w:r w:rsidRPr="000D2D95">
        <w:t>wall coverings applications for walls:</w:t>
      </w:r>
    </w:p>
    <w:p w:rsidR="00000000" w:rsidRPr="000D2D95" w:rsidP="000D2D95">
      <w:pPr>
        <w:pStyle w:val="ListBullet2"/>
      </w:pPr>
      <w:r w:rsidRPr="000D2D95">
        <w:t>set plaster</w:t>
      </w:r>
    </w:p>
    <w:p w:rsidR="00000000" w:rsidRPr="000D2D95" w:rsidP="000D2D95">
      <w:pPr>
        <w:pStyle w:val="ListBullet2"/>
      </w:pPr>
      <w:r w:rsidRPr="000D2D95">
        <w:t>plasterboard</w:t>
      </w:r>
    </w:p>
    <w:p w:rsidR="00000000" w:rsidRPr="000D2D95" w:rsidP="000D2D95">
      <w:pPr>
        <w:pStyle w:val="ListBullet2"/>
      </w:pPr>
      <w:r w:rsidRPr="000D2D95">
        <w:t>fibrous plaster</w:t>
      </w:r>
    </w:p>
    <w:p w:rsidR="00000000" w:rsidRPr="000D2D95" w:rsidP="000D2D95">
      <w:pPr>
        <w:pStyle w:val="ListBullet2"/>
      </w:pPr>
      <w:r w:rsidRPr="000D2D95">
        <w:t>medium density fibre board</w:t>
      </w:r>
    </w:p>
    <w:p w:rsidR="00000000" w:rsidRPr="000D2D95" w:rsidP="000D2D95">
      <w:pPr>
        <w:pStyle w:val="ListBullet2"/>
      </w:pPr>
      <w:r w:rsidRPr="000D2D95">
        <w:t>fibre cement products</w:t>
      </w:r>
    </w:p>
    <w:p w:rsidR="00000000" w:rsidRPr="000D2D95" w:rsidP="000D2D95">
      <w:pPr>
        <w:pStyle w:val="ListBullet2"/>
      </w:pPr>
      <w:r w:rsidRPr="000D2D95">
        <w:t>flat or curved</w:t>
      </w:r>
    </w:p>
    <w:p w:rsidR="00000000" w:rsidRPr="000D2D95" w:rsidP="000D2D95">
      <w:pPr>
        <w:pStyle w:val="ListBullet"/>
      </w:pPr>
      <w:r w:rsidRPr="000D2D95">
        <w:t>wall covering tools and equipment, their uses and limitations.</w:t>
      </w:r>
    </w:p>
    <w:p w:rsidR="00000000" w:rsidRPr="000D2D95" w:rsidP="000D2D95">
      <w:pPr>
        <w:pStyle w:val="AllowPageBreak"/>
      </w:pPr>
    </w:p>
    <w:p w:rsidR="00000000" w:rsidRPr="000D2D95" w:rsidP="000D2D95">
      <w:pPr>
        <w:pStyle w:val="Heading1"/>
      </w:pPr>
      <w:bookmarkStart w:id="4" w:name="O_1292789"/>
      <w:bookmarkEnd w:id="4"/>
      <w:r w:rsidRPr="000D2D95">
        <w:t>Assessment Conditions</w:t>
      </w:r>
    </w:p>
    <w:p w:rsidR="00000000" w:rsidRPr="000D2D95" w:rsidP="00172B95">
      <w:pPr>
        <w:pStyle w:val="BodyText"/>
      </w:pPr>
      <w:r w:rsidRPr="000D2D95">
        <w:t>Assessors must meet the requirements for assessors contain</w:t>
      </w:r>
      <w:r w:rsidRPr="000D2D95">
        <w:t xml:space="preserve">ed in the Standards for Registered Training Organisations. </w:t>
      </w:r>
    </w:p>
    <w:p w:rsidR="00000000" w:rsidRPr="000D2D95" w:rsidP="00172B95">
      <w:pPr>
        <w:pStyle w:val="BodyText"/>
      </w:pPr>
      <w:r w:rsidRPr="000D2D95">
        <w:t>T</w:t>
      </w:r>
      <w:r w:rsidRPr="000D2D95">
        <w:t>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0D2D95" w:rsidP="000D2D95">
      <w:pPr>
        <w:pStyle w:val="Heading1"/>
      </w:pPr>
      <w:bookmarkStart w:id="5" w:name="O_1292802"/>
      <w:bookmarkEnd w:id="5"/>
      <w:r w:rsidRPr="000D2D95">
        <w:t>Links</w:t>
      </w:r>
    </w:p>
    <w:p w:rsidR="00000000" w:rsidRPr="000D2D95" w:rsidP="00172B95">
      <w:pPr>
        <w:pStyle w:val="BodyText"/>
      </w:pPr>
      <w:r w:rsidRPr="000D2D95">
        <w:t xml:space="preserve">Companion volumes to </w:t>
      </w:r>
      <w:r w:rsidRPr="000D2D95">
        <w:t xml:space="preserve">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2042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D2D95" w:rsidP="000D2D95"/>
    <w:sectPr w:rsidSect="000D2D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95" w:rsidRPr="00172B95" w:rsidP="00172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95" w:rsidP="000D2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B95" w:rsidP="000D2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72B95" w:rsidP="000D2D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D95" w:rsidRPr="00172B95" w:rsidP="00172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95" w:rsidRPr="002D2AF8" w:rsidP="000D2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CPCCPD3032 Apply advanced wall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72B95" w:rsidP="000D2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B6A7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60C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3C0F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D95"/>
  </w:style>
  <w:style w:type="character" w:customStyle="1" w:styleId="Heading1Char">
    <w:name w:val="Heading 1 Char"/>
    <w:basedOn w:val="DefaultParagraphFont"/>
    <w:link w:val="Heading1"/>
    <w:rsid w:val="000D2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D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D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D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2D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2D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D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D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D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2D95"/>
    <w:rPr>
      <w:b/>
      <w:spacing w:val="0"/>
    </w:rPr>
  </w:style>
  <w:style w:type="paragraph" w:customStyle="1" w:styleId="SuperTitle">
    <w:name w:val="SuperTitle"/>
    <w:basedOn w:val="Title"/>
    <w:rsid w:val="000D2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2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D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D95"/>
    <w:rPr>
      <w:i/>
    </w:rPr>
  </w:style>
  <w:style w:type="paragraph" w:styleId="Caption">
    <w:name w:val="caption"/>
    <w:basedOn w:val="BodyText"/>
    <w:next w:val="Normal"/>
    <w:qFormat/>
    <w:rsid w:val="000D2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D95"/>
  </w:style>
  <w:style w:type="paragraph" w:styleId="TableofFigures">
    <w:name w:val="table of figures"/>
    <w:basedOn w:val="Normal"/>
    <w:next w:val="Normal"/>
    <w:semiHidden/>
    <w:rsid w:val="000D2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D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2D95"/>
    <w:rPr>
      <w:rFonts w:ascii="Wingdings" w:hAnsi="Wingdings"/>
    </w:rPr>
  </w:style>
  <w:style w:type="paragraph" w:customStyle="1" w:styleId="TableHeading">
    <w:name w:val="Table Heading"/>
    <w:basedOn w:val="HeadingBase"/>
    <w:rsid w:val="000D2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D95"/>
    <w:rPr>
      <w:color w:val="0033CC"/>
      <w:u w:val="none"/>
    </w:rPr>
  </w:style>
  <w:style w:type="paragraph" w:customStyle="1" w:styleId="BodyTextRight">
    <w:name w:val="Body Text Right"/>
    <w:basedOn w:val="BodyText"/>
    <w:rsid w:val="000D2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D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D95"/>
    <w:rPr>
      <w:sz w:val="32"/>
    </w:rPr>
  </w:style>
  <w:style w:type="paragraph" w:customStyle="1" w:styleId="HeadingProcedure">
    <w:name w:val="Heading Procedure"/>
    <w:basedOn w:val="HeadingBase"/>
    <w:next w:val="Normal"/>
    <w:rsid w:val="000D2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D95"/>
    <w:pPr>
      <w:spacing w:before="60" w:after="60"/>
    </w:pPr>
  </w:style>
  <w:style w:type="paragraph" w:styleId="ListContinue">
    <w:name w:val="List Continue"/>
    <w:basedOn w:val="List"/>
    <w:rsid w:val="000D2D95"/>
    <w:pPr>
      <w:ind w:firstLine="0"/>
    </w:pPr>
  </w:style>
  <w:style w:type="paragraph" w:customStyle="1" w:styleId="ListNote">
    <w:name w:val="List Note"/>
    <w:basedOn w:val="List"/>
    <w:rsid w:val="000D2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D95"/>
    <w:rPr>
      <w:rFonts w:ascii="Courier New" w:hAnsi="Courier New"/>
    </w:rPr>
  </w:style>
  <w:style w:type="paragraph" w:customStyle="1" w:styleId="NoteBullet">
    <w:name w:val="Note Bullet"/>
    <w:basedOn w:val="Note"/>
    <w:rsid w:val="000D2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D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2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D95"/>
    <w:rPr>
      <w:b/>
      <w:smallCaps/>
    </w:rPr>
  </w:style>
  <w:style w:type="paragraph" w:customStyle="1" w:styleId="TableListNumber">
    <w:name w:val="Table List Number"/>
    <w:basedOn w:val="ListNumber"/>
    <w:rsid w:val="000D2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D95"/>
    <w:pPr>
      <w:numPr>
        <w:numId w:val="9"/>
      </w:numPr>
    </w:pPr>
  </w:style>
  <w:style w:type="paragraph" w:customStyle="1" w:styleId="ListAlpha2">
    <w:name w:val="List Alpha 2"/>
    <w:basedOn w:val="List2"/>
    <w:rsid w:val="000D2D95"/>
    <w:pPr>
      <w:numPr>
        <w:numId w:val="8"/>
      </w:numPr>
    </w:pPr>
  </w:style>
  <w:style w:type="paragraph" w:styleId="List2">
    <w:name w:val="List 2"/>
    <w:basedOn w:val="BodyText"/>
    <w:rsid w:val="000D2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D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D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2D95"/>
    <w:pPr>
      <w:numPr>
        <w:numId w:val="4"/>
      </w:numPr>
    </w:pPr>
  </w:style>
  <w:style w:type="paragraph" w:styleId="ListContinue2">
    <w:name w:val="List Continue 2"/>
    <w:basedOn w:val="List2"/>
    <w:rsid w:val="000D2D95"/>
    <w:pPr>
      <w:ind w:firstLine="0"/>
    </w:pPr>
  </w:style>
  <w:style w:type="paragraph" w:styleId="ListContinue3">
    <w:name w:val="List Continue 3"/>
    <w:basedOn w:val="List3"/>
    <w:rsid w:val="000D2D95"/>
    <w:pPr>
      <w:ind w:left="1021" w:firstLine="0"/>
    </w:pPr>
  </w:style>
  <w:style w:type="paragraph" w:styleId="ListContinue4">
    <w:name w:val="List Continue 4"/>
    <w:basedOn w:val="List4"/>
    <w:rsid w:val="000D2D95"/>
    <w:pPr>
      <w:ind w:firstLine="0"/>
    </w:pPr>
  </w:style>
  <w:style w:type="paragraph" w:styleId="ListContinue5">
    <w:name w:val="List Continue 5"/>
    <w:basedOn w:val="List5"/>
    <w:rsid w:val="000D2D95"/>
    <w:pPr>
      <w:ind w:firstLine="0"/>
    </w:pPr>
  </w:style>
  <w:style w:type="paragraph" w:styleId="ListNumber3">
    <w:name w:val="List Number 3"/>
    <w:basedOn w:val="List3"/>
    <w:rsid w:val="000D2D95"/>
    <w:pPr>
      <w:numPr>
        <w:numId w:val="5"/>
      </w:numPr>
    </w:pPr>
  </w:style>
  <w:style w:type="paragraph" w:styleId="ListNumber4">
    <w:name w:val="List Number 4"/>
    <w:basedOn w:val="List4"/>
    <w:rsid w:val="000D2D95"/>
    <w:pPr>
      <w:numPr>
        <w:numId w:val="6"/>
      </w:numPr>
    </w:pPr>
  </w:style>
  <w:style w:type="paragraph" w:styleId="ListNumber5">
    <w:name w:val="List Number 5"/>
    <w:basedOn w:val="List5"/>
    <w:rsid w:val="000D2D95"/>
    <w:pPr>
      <w:numPr>
        <w:numId w:val="7"/>
      </w:numPr>
    </w:pPr>
  </w:style>
  <w:style w:type="paragraph" w:styleId="BlockText">
    <w:name w:val="Block Text"/>
    <w:basedOn w:val="Normal"/>
    <w:rsid w:val="000D2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D95"/>
    <w:rPr>
      <w:sz w:val="16"/>
      <w:vertAlign w:val="superscript"/>
    </w:rPr>
  </w:style>
  <w:style w:type="character" w:customStyle="1" w:styleId="Symbols">
    <w:name w:val="Symbols"/>
    <w:basedOn w:val="DefaultParagraphFont"/>
    <w:rsid w:val="000D2D95"/>
    <w:rPr>
      <w:rFonts w:ascii="Symbol" w:hAnsi="Symbol"/>
    </w:rPr>
  </w:style>
  <w:style w:type="character" w:customStyle="1" w:styleId="MenuOptions">
    <w:name w:val="Menu Options"/>
    <w:basedOn w:val="DefaultParagraphFont"/>
    <w:rsid w:val="000D2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D95"/>
    <w:rPr>
      <w:b/>
    </w:rPr>
  </w:style>
  <w:style w:type="character" w:customStyle="1" w:styleId="Underlined">
    <w:name w:val="Underlined"/>
    <w:basedOn w:val="DefaultParagraphFont"/>
    <w:rsid w:val="000D2D95"/>
    <w:rPr>
      <w:u w:val="single"/>
    </w:rPr>
  </w:style>
  <w:style w:type="paragraph" w:customStyle="1" w:styleId="TableBodyTextRight">
    <w:name w:val="Table Body Text Right"/>
    <w:basedOn w:val="TableBodyText"/>
    <w:rsid w:val="000D2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D95"/>
    <w:rPr>
      <w:sz w:val="18"/>
    </w:rPr>
  </w:style>
  <w:style w:type="paragraph" w:customStyle="1" w:styleId="BodySmallRight">
    <w:name w:val="Body Small Right"/>
    <w:basedOn w:val="BodyTextRight"/>
    <w:rsid w:val="000D2D95"/>
    <w:rPr>
      <w:sz w:val="18"/>
      <w:szCs w:val="18"/>
    </w:rPr>
  </w:style>
  <w:style w:type="paragraph" w:customStyle="1" w:styleId="MarginEdition">
    <w:name w:val="Margin Edition"/>
    <w:basedOn w:val="MarginNote"/>
    <w:rsid w:val="000D2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D95"/>
    <w:rPr>
      <w:sz w:val="2"/>
      <w:szCs w:val="2"/>
    </w:rPr>
  </w:style>
  <w:style w:type="character" w:customStyle="1" w:styleId="Small">
    <w:name w:val="Small"/>
    <w:basedOn w:val="DefaultParagraphFont"/>
    <w:rsid w:val="000D2D95"/>
    <w:rPr>
      <w:sz w:val="16"/>
    </w:rPr>
  </w:style>
  <w:style w:type="paragraph" w:customStyle="1" w:styleId="WideTable">
    <w:name w:val="Wide Table"/>
    <w:basedOn w:val="Normal"/>
    <w:rsid w:val="000D2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D95"/>
  </w:style>
  <w:style w:type="paragraph" w:styleId="Quote">
    <w:name w:val="Quote"/>
    <w:basedOn w:val="Heading1"/>
    <w:link w:val="QuoteChar"/>
    <w:qFormat/>
    <w:rsid w:val="000D2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D95"/>
    <w:pPr>
      <w:pageBreakBefore/>
    </w:pPr>
  </w:style>
  <w:style w:type="paragraph" w:customStyle="1" w:styleId="Border">
    <w:name w:val="Border"/>
    <w:basedOn w:val="Normal"/>
    <w:qFormat/>
    <w:rsid w:val="000D2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D95"/>
    <w:rPr>
      <w:u w:val="single"/>
    </w:rPr>
  </w:style>
  <w:style w:type="character" w:customStyle="1" w:styleId="BoldandItalics">
    <w:name w:val="Bold and Italics"/>
    <w:qFormat/>
    <w:rsid w:val="000D2D95"/>
    <w:rPr>
      <w:b/>
      <w:i/>
      <w:u w:val="none"/>
    </w:rPr>
  </w:style>
  <w:style w:type="paragraph" w:styleId="BalloonText">
    <w:name w:val="Balloon Text"/>
    <w:basedOn w:val="Normal"/>
    <w:link w:val="BalloonTextChar"/>
    <w:rsid w:val="000D2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D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D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D95"/>
    <w:pPr>
      <w:spacing w:before="0" w:after="0"/>
    </w:pPr>
  </w:style>
  <w:style w:type="paragraph" w:customStyle="1" w:styleId="BodyTextBold">
    <w:name w:val="Body Text Bold"/>
    <w:basedOn w:val="BodyText"/>
    <w:qFormat/>
    <w:rsid w:val="000D2D95"/>
    <w:rPr>
      <w:b/>
    </w:rPr>
  </w:style>
  <w:style w:type="character" w:styleId="Hyperlink">
    <w:name w:val="Hyperlink"/>
    <w:basedOn w:val="DefaultParagraphFont"/>
    <w:uiPriority w:val="99"/>
    <w:unhideWhenUsed/>
    <w:rsid w:val="00172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3309</Characters>
  <Application>Microsoft Office Word</Application>
  <DocSecurity>0</DocSecurity>
  <Lines>103</Lines>
  <Paragraphs>81</Paragraphs>
  <ScaleCrop>false</ScaleCrop>
  <Company>Author-it Software Corporation Ltd.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CPCCPD3032 Apply advanced wall coverings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