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16E" w:rsidP="00E2416E">
      <w:pPr>
        <w:pStyle w:val="Title"/>
      </w:pPr>
      <w:r>
        <w:fldChar w:fldCharType="begin"/>
      </w:r>
      <w:r>
        <w:instrText xml:space="preserve"> TITLE   \* MERGEFORMAT </w:instrText>
      </w:r>
      <w:r>
        <w:fldChar w:fldCharType="separate"/>
      </w:r>
      <w:r>
        <w:t>CPCCPD3031 Work safely with lead-painted surfaces in the painting industry</w:t>
      </w:r>
      <w:r>
        <w:fldChar w:fldCharType="end"/>
      </w:r>
    </w:p>
    <w:p w:rsidR="00E2416E" w:rsidP="00E2416E">
      <w:pPr>
        <w:pStyle w:val="Version"/>
        <w:sectPr w:rsidSect="00BF36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36E6" w:rsidP="00BF36E6">
      <w:pPr>
        <w:pStyle w:val="SuperHeading"/>
      </w:pPr>
      <w:r w:rsidRPr="00BF36E6">
        <w:t>CPCCPD3031 Work safely with lead-painted surfaces in the painting industry</w:t>
      </w:r>
    </w:p>
    <w:p w:rsidR="00000000" w:rsidRPr="00BF36E6" w:rsidP="00BF36E6">
      <w:pPr>
        <w:pStyle w:val="Heading1"/>
      </w:pPr>
      <w:bookmarkStart w:id="1" w:name="O_1292816"/>
      <w:bookmarkEnd w:id="1"/>
      <w:r w:rsidRPr="00BF36E6">
        <w:t>Modification History</w:t>
      </w:r>
    </w:p>
    <w:tbl>
      <w:tblPr>
        <w:tblW w:w="0" w:type="auto"/>
        <w:tblLayout w:type="fixed"/>
        <w:tblCellMar>
          <w:left w:w="62" w:type="dxa"/>
          <w:right w:w="62" w:type="dxa"/>
        </w:tblCellMar>
        <w:tblLook w:val="0000"/>
      </w:tblPr>
      <w:tblGrid>
        <w:gridCol w:w="1128"/>
        <w:gridCol w:w="7944"/>
      </w:tblGrid>
      <w:tr w:rsidTr="00BF36E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Release 2</w:t>
            </w:r>
          </w:p>
        </w:tc>
        <w:tc>
          <w:tcPr>
            <w:tcW w:w="794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Updated reference to general construction induction training program.</w:t>
            </w:r>
          </w:p>
        </w:tc>
      </w:tr>
      <w:tr w:rsidTr="00BF36E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Release 1</w:t>
            </w:r>
          </w:p>
        </w:tc>
        <w:tc>
          <w:tcPr>
            <w:tcW w:w="7944" w:type="dxa"/>
            <w:tcBorders>
              <w:top w:val="nil"/>
              <w:left w:val="nil"/>
              <w:bottom w:val="nil"/>
              <w:right w:val="nil"/>
            </w:tcBorders>
            <w:tcMar>
              <w:top w:w="0" w:type="dxa"/>
              <w:left w:w="62" w:type="dxa"/>
              <w:bottom w:w="0" w:type="dxa"/>
              <w:right w:w="62" w:type="dxa"/>
            </w:tcMar>
          </w:tcPr>
          <w:p w:rsidR="00000000" w:rsidRPr="00BF36E6" w:rsidP="00BF36E6">
            <w:pPr>
              <w:pStyle w:val="BodyText"/>
            </w:pPr>
            <w:r w:rsidRPr="00BF36E6">
              <w:t>This version first released with CPC Construction, Plumbing and Services Training Package Release 5.0.</w:t>
            </w:r>
          </w:p>
          <w:p w:rsidR="00000000" w:rsidRPr="00BF36E6" w:rsidP="00BF36E6">
            <w:pPr>
              <w:pStyle w:val="BodyText"/>
            </w:pPr>
            <w:r w:rsidRPr="00BF36E6">
              <w:t>Supersedes and is equivalent to CPCCPD3031A Implement safe lead paint and asbestos work practices in the painting industry.  Updated to meet the Standard</w:t>
            </w:r>
            <w:r w:rsidRPr="00BF36E6">
              <w:t>s for Training Packages 2012.</w:t>
            </w:r>
          </w:p>
        </w:tc>
      </w:tr>
    </w:tbl>
    <w:p w:rsidR="00000000" w:rsidRPr="00BF36E6" w:rsidP="00BF36E6">
      <w:pPr>
        <w:pStyle w:val="BodyText"/>
      </w:pPr>
    </w:p>
    <w:p w:rsidR="00000000" w:rsidRPr="00BF36E6" w:rsidP="00BF36E6">
      <w:pPr>
        <w:pStyle w:val="AllowPageBreak"/>
      </w:pPr>
    </w:p>
    <w:p w:rsidR="00000000" w:rsidRPr="00BF36E6" w:rsidP="00BF36E6">
      <w:pPr>
        <w:pStyle w:val="Heading1"/>
      </w:pPr>
      <w:bookmarkStart w:id="2" w:name="O_1292815"/>
      <w:bookmarkEnd w:id="2"/>
      <w:r w:rsidRPr="00BF36E6">
        <w:t>Application</w:t>
      </w:r>
    </w:p>
    <w:p w:rsidR="00000000" w:rsidRPr="00BF36E6" w:rsidP="00E2416E">
      <w:pPr>
        <w:pStyle w:val="BodyText"/>
      </w:pPr>
      <w:r w:rsidRPr="00BF36E6">
        <w:t>This unit of competency specifies the skills and knowledge required to safely treat lead paint hazards.</w:t>
      </w:r>
    </w:p>
    <w:p w:rsidR="00000000" w:rsidRPr="00BF36E6" w:rsidP="00E2416E">
      <w:pPr>
        <w:pStyle w:val="BodyText"/>
      </w:pPr>
      <w:r w:rsidRPr="00BF36E6">
        <w:t>The unit includes hazard identification, preparation of the work area, removal of contami</w:t>
      </w:r>
      <w:r w:rsidRPr="00BF36E6">
        <w:t>nated material, encapsulation of contaminated material and completion of clean-up activities.</w:t>
      </w:r>
    </w:p>
    <w:p w:rsidR="00000000" w:rsidRPr="00BF36E6" w:rsidP="00E2416E">
      <w:pPr>
        <w:pStyle w:val="BodyText"/>
      </w:pPr>
      <w:r w:rsidRPr="00BF36E6">
        <w:t>A person who has achieved this unit of competency would be expected to take responsibility for organising and completing these tasks with a high degree of self-di</w:t>
      </w:r>
      <w:r w:rsidRPr="00BF36E6">
        <w:t>rection.</w:t>
      </w:r>
    </w:p>
    <w:p w:rsidR="00000000" w:rsidRPr="00BF36E6" w:rsidP="00E2416E">
      <w:pPr>
        <w:pStyle w:val="BodyText"/>
      </w:pPr>
      <w:r w:rsidRPr="00BF36E6">
        <w:t xml:space="preserve">Completion of the general construction induction training program specified by the model Code of Practice for Construction Work is required for any person who is to carry out construction work.  Achievement of </w:t>
      </w:r>
      <w:r w:rsidRPr="00BF36E6">
        <w:rPr>
          <w:rStyle w:val="Emphasis"/>
        </w:rPr>
        <w:t xml:space="preserve">CPCWHS1001 Prepare to work safely in </w:t>
      </w:r>
      <w:r w:rsidRPr="00BF36E6">
        <w:rPr>
          <w:rStyle w:val="Emphasis"/>
        </w:rPr>
        <w:t>the construction industry</w:t>
      </w:r>
      <w:r w:rsidRPr="00BF36E6">
        <w:t> meets this requirement.</w:t>
      </w:r>
    </w:p>
    <w:p w:rsidR="00000000" w:rsidRPr="00BF36E6" w:rsidP="00E2416E">
      <w:pPr>
        <w:pStyle w:val="BodyText"/>
      </w:pPr>
      <w:r w:rsidRPr="00BF36E6">
        <w:t>No licensing, legislative or certification requirements apply to this unit at the time of publication.</w:t>
      </w:r>
    </w:p>
    <w:p w:rsidR="00000000" w:rsidRPr="00BF36E6" w:rsidP="00BF36E6">
      <w:pPr>
        <w:pStyle w:val="Heading1"/>
      </w:pPr>
      <w:bookmarkStart w:id="3" w:name="O_1292814"/>
      <w:bookmarkEnd w:id="3"/>
      <w:r w:rsidRPr="00BF36E6">
        <w:t>Pre-requisite Unit</w:t>
      </w:r>
    </w:p>
    <w:tbl>
      <w:tblPr>
        <w:tblW w:w="0" w:type="auto"/>
        <w:tblLayout w:type="fixed"/>
        <w:tblCellMar>
          <w:left w:w="62" w:type="dxa"/>
          <w:right w:w="62" w:type="dxa"/>
        </w:tblCellMar>
        <w:tblLook w:val="0000"/>
      </w:tblPr>
      <w:tblGrid>
        <w:gridCol w:w="1650"/>
        <w:gridCol w:w="7422"/>
      </w:tblGrid>
      <w:tr w:rsidTr="00BF36E6">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CPCCWHS2001</w:t>
            </w:r>
          </w:p>
        </w:tc>
        <w:tc>
          <w:tcPr>
            <w:tcW w:w="7422" w:type="dxa"/>
            <w:tcBorders>
              <w:top w:val="nil"/>
              <w:left w:val="nil"/>
              <w:bottom w:val="nil"/>
              <w:right w:val="nil"/>
            </w:tcBorders>
            <w:tcMar>
              <w:top w:w="0" w:type="dxa"/>
              <w:left w:w="62" w:type="dxa"/>
              <w:bottom w:w="0" w:type="dxa"/>
              <w:right w:w="62" w:type="dxa"/>
            </w:tcMar>
          </w:tcPr>
          <w:p w:rsidR="00000000" w:rsidRPr="00BF36E6" w:rsidP="00BF36E6">
            <w:pPr>
              <w:pStyle w:val="BodyText"/>
            </w:pPr>
            <w:r w:rsidRPr="00BF36E6">
              <w:t>Apply WHS requirements, policies and procedures in th</w:t>
            </w:r>
            <w:r w:rsidRPr="00BF36E6">
              <w:t>e construction industry</w:t>
            </w:r>
          </w:p>
        </w:tc>
      </w:tr>
    </w:tbl>
    <w:p w:rsidR="00000000" w:rsidRPr="00BF36E6" w:rsidP="00BF36E6">
      <w:pPr>
        <w:pStyle w:val="BodyText"/>
      </w:pPr>
    </w:p>
    <w:p w:rsidR="00000000" w:rsidRPr="00BF36E6" w:rsidP="00BF36E6">
      <w:pPr>
        <w:pStyle w:val="AllowPageBreak"/>
      </w:pPr>
    </w:p>
    <w:p w:rsidR="00000000" w:rsidRPr="00BF36E6" w:rsidP="00BF36E6">
      <w:pPr>
        <w:pStyle w:val="Heading1"/>
      </w:pPr>
      <w:bookmarkStart w:id="4" w:name="O_1292813"/>
      <w:bookmarkEnd w:id="4"/>
      <w:r w:rsidRPr="00BF36E6">
        <w:t>Unit Sector</w:t>
      </w:r>
    </w:p>
    <w:p w:rsidR="00000000" w:rsidRPr="00BF36E6" w:rsidP="00E2416E">
      <w:pPr>
        <w:pStyle w:val="BodyText"/>
      </w:pPr>
      <w:r w:rsidRPr="00BF36E6">
        <w:t>Painting and Decorating</w:t>
      </w:r>
    </w:p>
    <w:p w:rsidR="00000000" w:rsidRPr="00BF36E6" w:rsidP="00BF36E6">
      <w:pPr>
        <w:pStyle w:val="Heading1"/>
      </w:pPr>
      <w:bookmarkStart w:id="5" w:name="O_1292812"/>
      <w:bookmarkEnd w:id="5"/>
      <w:r w:rsidRPr="00BF36E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F36E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Performance criteria describe what needs to be done to demonstrate achievement of the element.</w:t>
            </w:r>
          </w:p>
        </w:tc>
      </w:tr>
      <w:tr w:rsidTr="00BF3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w:t>
            </w:r>
          </w:p>
        </w:tc>
        <w:tc>
          <w:tcPr>
            <w:tcW w:w="2357"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Plan and prepare.</w:t>
            </w: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1.1</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Review circumstances in which lead-based paint hazards may be encountered.</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1.2</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Review work instructions to implement safe lead paint work practices, and test for lead-based paint.</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1.3</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Select and fit personal protective equipment (PPE) as required for each task.</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1.4</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Plan all work to meet relevant requirements of work health and safety (WHS), Commonwealth and state or territory legislation, environmental plans and obligations, manufacturers’ specifications, and workplace requirements.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1.5</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Inspect work site, assess h</w:t>
            </w:r>
            <w:r w:rsidRPr="00BF36E6">
              <w:t>azards, arrange for lead tests on soils, and apply risk controls.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1.6</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Select tools and equipment, check for serviceability and report any faults.</w:t>
            </w:r>
          </w:p>
        </w:tc>
      </w:tr>
      <w:tr w:rsidTr="00BF36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36E6">
            <w:pPr>
              <w:pStyle w:val="BodyText"/>
              <w:rPr>
                <w:lang w:val="en-NZ"/>
              </w:rPr>
            </w:pPr>
          </w:p>
        </w:tc>
      </w:tr>
      <w:tr w:rsidTr="00BF3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w:t>
            </w:r>
          </w:p>
        </w:tc>
        <w:tc>
          <w:tcPr>
            <w:tcW w:w="2357"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Define and prepare work area.</w:t>
            </w: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2.1</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Select process for the identification, management and treatment of lead-based paints.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2.2</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Establish, close off and maintain a safe working area around lead-based painted surfaces using temporary control measures, barriers and signage.</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2.3</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Remove furnishings and food stuffs cover other surfaces and water storage, and seal doors and windows.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2.4</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 xml:space="preserve">Apply debris and waste management procedures for control of lead paint contamination from flake, chalk and dust. </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2.5</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 xml:space="preserve">Prepare surface of paint </w:t>
            </w:r>
            <w:r w:rsidRPr="00BF36E6">
              <w:t>containing lead for removal or covering.</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2.6</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Position tools and equipment for job requirements.</w:t>
            </w:r>
          </w:p>
        </w:tc>
      </w:tr>
      <w:tr w:rsidTr="00BF36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36E6">
            <w:pPr>
              <w:pStyle w:val="BodyText"/>
              <w:rPr>
                <w:lang w:val="en-NZ"/>
              </w:rPr>
            </w:pPr>
          </w:p>
        </w:tc>
      </w:tr>
      <w:tr w:rsidTr="00BF3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3</w:t>
            </w:r>
          </w:p>
        </w:tc>
        <w:tc>
          <w:tcPr>
            <w:tcW w:w="2357"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Remove lead paint.</w:t>
            </w: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3.1</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Select removal processes for paint containing lead.</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3.2</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Quarantine contamination area and protect people at risk in accordance with regulatory requirements.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3.3</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Apply removal processes for paint containing lead.</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3.4</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Select and apply methods for the containment and disposal off-site of paint containing lead to regulatory requirements.</w:t>
            </w:r>
          </w:p>
        </w:tc>
      </w:tr>
      <w:tr w:rsidTr="00BF36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36E6">
            <w:pPr>
              <w:pStyle w:val="BodyText"/>
              <w:rPr>
                <w:lang w:val="en-NZ"/>
              </w:rPr>
            </w:pPr>
          </w:p>
        </w:tc>
      </w:tr>
      <w:tr w:rsidTr="00BF3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4</w:t>
            </w:r>
          </w:p>
        </w:tc>
        <w:tc>
          <w:tcPr>
            <w:tcW w:w="2357"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Apply covering coating to lead-based paint.</w:t>
            </w: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4.1</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Assess and select methods for applying covering coating of pa</w:t>
            </w:r>
            <w:r w:rsidRPr="00BF36E6">
              <w:t>int containing lead on existing surfaces by over-painting or encapsulation in accordance with regulatory requirements.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4.2</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Assess suitability of work area for covering of paint containing lead.</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4.3</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 xml:space="preserve">Apply covering coating to paint containing lead. </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4.4</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Prepare surface of covering coating for subsequent paint coatings.</w:t>
            </w:r>
          </w:p>
        </w:tc>
      </w:tr>
      <w:tr w:rsidTr="00BF36E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F36E6">
            <w:pPr>
              <w:pStyle w:val="BodyText"/>
              <w:rPr>
                <w:lang w:val="en-NZ"/>
              </w:rPr>
            </w:pPr>
          </w:p>
        </w:tc>
      </w:tr>
      <w:tr w:rsidTr="00BF36E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w:t>
            </w:r>
          </w:p>
        </w:tc>
        <w:tc>
          <w:tcPr>
            <w:tcW w:w="2357" w:type="dxa"/>
            <w:vMerge w:val="restart"/>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Clean up.</w:t>
            </w: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5.1</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Arrange for testing of work site to ensure that no further contamination has occurred.</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5.2</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Clean up meeting all legislative and workplace requirements for safety, waste disposal, materials handling and protection of the environment.</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5.3</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Clear work area, reuse or recycle materials and place waste and unwanted materials into job waste bins or r</w:t>
            </w:r>
            <w:r w:rsidRPr="00BF36E6">
              <w:t>ubbish stockpile.</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5.4</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Check and maintain tools and equipment and clean with appropriate solvents.</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5.5</w:t>
            </w:r>
          </w:p>
        </w:tc>
        <w:tc>
          <w:tcPr>
            <w:tcW w:w="5659"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Dispose of paint waste and of water and solvents used in cleaning tools and equipment in an environmentally sustainable manner.</w:t>
            </w:r>
          </w:p>
        </w:tc>
      </w:tr>
      <w:tr w:rsidTr="00BF36E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F36E6">
            <w:pPr>
              <w:pStyle w:val="BodyText"/>
              <w:rPr>
                <w:lang w:val="en-NZ"/>
              </w:rPr>
            </w:pPr>
            <w:r w:rsidRPr="00BF36E6">
              <w:t>5.6</w:t>
            </w:r>
          </w:p>
        </w:tc>
        <w:tc>
          <w:tcPr>
            <w:tcW w:w="5659" w:type="dxa"/>
            <w:tcBorders>
              <w:top w:val="nil"/>
              <w:left w:val="nil"/>
              <w:bottom w:val="nil"/>
              <w:right w:val="nil"/>
            </w:tcBorders>
            <w:tcMar>
              <w:top w:w="0" w:type="dxa"/>
              <w:left w:w="62" w:type="dxa"/>
              <w:bottom w:w="0" w:type="dxa"/>
              <w:right w:w="62" w:type="dxa"/>
            </w:tcMar>
          </w:tcPr>
          <w:p w:rsidR="00000000" w:rsidRPr="00BF36E6" w:rsidP="00BF36E6">
            <w:pPr>
              <w:pStyle w:val="BodyText"/>
            </w:pPr>
            <w:r w:rsidRPr="00BF36E6">
              <w:t>Store tools, equipment and sealed unused materials to avoid spontaneous ignition.</w:t>
            </w:r>
          </w:p>
        </w:tc>
      </w:tr>
    </w:tbl>
    <w:p w:rsidR="00000000" w:rsidRPr="00BF36E6" w:rsidP="00BF36E6">
      <w:pPr>
        <w:pStyle w:val="BodyText"/>
      </w:pPr>
    </w:p>
    <w:p w:rsidR="00000000" w:rsidRPr="00BF36E6" w:rsidP="00BF36E6">
      <w:pPr>
        <w:pStyle w:val="AllowPageBreak"/>
      </w:pPr>
    </w:p>
    <w:p w:rsidR="00000000" w:rsidRPr="00BF36E6" w:rsidP="00BF36E6">
      <w:pPr>
        <w:pStyle w:val="Heading1"/>
      </w:pPr>
      <w:bookmarkStart w:id="6" w:name="O_1292811"/>
      <w:bookmarkEnd w:id="6"/>
      <w:r w:rsidRPr="00BF36E6">
        <w:t>Foundation Skills</w:t>
      </w:r>
    </w:p>
    <w:p w:rsidR="00000000" w:rsidRPr="00BF36E6" w:rsidP="00E2416E">
      <w:pPr>
        <w:pStyle w:val="BodyText"/>
      </w:pPr>
      <w:r w:rsidRPr="00BF36E6">
        <w:t xml:space="preserve">Foundation skills essential to performance are explicit in the performance criteria of this unit of competency. </w:t>
      </w:r>
    </w:p>
    <w:p w:rsidR="00000000" w:rsidRPr="00BF36E6" w:rsidP="00BF36E6">
      <w:pPr>
        <w:pStyle w:val="Heading1"/>
      </w:pPr>
      <w:bookmarkStart w:id="7" w:name="O_1292810"/>
      <w:bookmarkEnd w:id="7"/>
      <w:r w:rsidRPr="00BF36E6">
        <w:t>Uni</w:t>
      </w:r>
      <w:r w:rsidRPr="00BF36E6">
        <w:t>t Mapping Information</w:t>
      </w:r>
    </w:p>
    <w:p w:rsidR="00000000" w:rsidRPr="00BF36E6" w:rsidP="00E2416E">
      <w:pPr>
        <w:pStyle w:val="BodyText"/>
      </w:pPr>
      <w:r w:rsidRPr="00BF36E6">
        <w:t>Supersedes and is equivalent to CPCCPD3031A Implement safe lead paint and asbestos work practices in the painting industry.</w:t>
      </w:r>
    </w:p>
    <w:p w:rsidR="00000000" w:rsidRPr="00BF36E6" w:rsidP="00BF36E6">
      <w:pPr>
        <w:pStyle w:val="Heading1"/>
      </w:pPr>
      <w:bookmarkStart w:id="8" w:name="O_1292817"/>
      <w:bookmarkEnd w:id="8"/>
      <w:r w:rsidRPr="00BF36E6">
        <w:t>Links</w:t>
      </w:r>
    </w:p>
    <w:p w:rsidR="00000000" w:rsidRPr="00BF36E6" w:rsidP="00E2416E">
      <w:pPr>
        <w:pStyle w:val="BodyText"/>
      </w:pPr>
      <w:r w:rsidRPr="00BF36E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07E06">
        <w:rPr>
          <w:rStyle w:val="Hyperlink"/>
        </w:rPr>
        <w:t>https://vetnet.gov.au/Pages/TrainingDocs.aspx?q=7e15fa6a-68b8-4097-b099-030a5569b1ad</w:t>
      </w:r>
      <w:r>
        <w:fldChar w:fldCharType="end"/>
      </w:r>
    </w:p>
    <w:p w:rsidR="00000000" w:rsidRPr="00BF36E6" w:rsidP="00BF36E6"/>
    <w:sectPr w:rsidSect="00BF36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6" w:rsidRPr="00E2416E" w:rsidP="00E241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6E" w:rsidP="00BF3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16E" w:rsidP="00BF36E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2416E" w:rsidP="00BF36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6E6" w:rsidRPr="00E2416E" w:rsidP="00E241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6E" w:rsidRPr="002D2AF8" w:rsidP="00BF36E6">
    <w:pPr>
      <w:pStyle w:val="Header"/>
      <w:framePr w:wrap="around"/>
    </w:pPr>
    <w:r>
      <w:fldChar w:fldCharType="begin"/>
    </w:r>
    <w:r>
      <w:instrText xml:space="preserve"> TITLE   \* MERGEFORMAT </w:instrText>
    </w:r>
    <w:r>
      <w:fldChar w:fldCharType="separate"/>
    </w:r>
    <w:r>
      <w:t>CPCCPD3031 Work safely with lead-painted surfaces in the painting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2416E" w:rsidP="00BF36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6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6E6"/>
    <w:pPr>
      <w:spacing w:before="360" w:after="60"/>
      <w:outlineLvl w:val="0"/>
    </w:pPr>
    <w:rPr>
      <w:sz w:val="32"/>
    </w:rPr>
  </w:style>
  <w:style w:type="paragraph" w:styleId="Heading2">
    <w:name w:val="heading 2"/>
    <w:basedOn w:val="HeadingBase"/>
    <w:next w:val="BodyText"/>
    <w:link w:val="Heading2Char"/>
    <w:qFormat/>
    <w:rsid w:val="00BF36E6"/>
    <w:pPr>
      <w:keepLines/>
      <w:spacing w:before="240" w:after="120"/>
      <w:outlineLvl w:val="1"/>
    </w:pPr>
    <w:rPr>
      <w:sz w:val="28"/>
      <w:szCs w:val="40"/>
    </w:rPr>
  </w:style>
  <w:style w:type="paragraph" w:styleId="Heading3">
    <w:name w:val="heading 3"/>
    <w:basedOn w:val="HeadingBase"/>
    <w:next w:val="BodyText"/>
    <w:link w:val="Heading3Char"/>
    <w:qFormat/>
    <w:rsid w:val="00BF36E6"/>
    <w:pPr>
      <w:spacing w:before="180" w:after="120"/>
      <w:outlineLvl w:val="2"/>
    </w:pPr>
    <w:rPr>
      <w:spacing w:val="-10"/>
      <w:kern w:val="32"/>
    </w:rPr>
  </w:style>
  <w:style w:type="paragraph" w:styleId="Heading4">
    <w:name w:val="heading 4"/>
    <w:basedOn w:val="HeadingBase"/>
    <w:next w:val="BodyText"/>
    <w:link w:val="Heading4Char"/>
    <w:qFormat/>
    <w:rsid w:val="00BF36E6"/>
    <w:pPr>
      <w:spacing w:before="160" w:after="120"/>
      <w:outlineLvl w:val="3"/>
    </w:pPr>
    <w:rPr>
      <w:sz w:val="22"/>
    </w:rPr>
  </w:style>
  <w:style w:type="paragraph" w:styleId="Heading5">
    <w:name w:val="heading 5"/>
    <w:basedOn w:val="HeadingBase"/>
    <w:next w:val="Normal"/>
    <w:link w:val="Heading5Char"/>
    <w:qFormat/>
    <w:rsid w:val="00BF36E6"/>
    <w:pPr>
      <w:spacing w:before="80"/>
      <w:outlineLvl w:val="4"/>
    </w:pPr>
    <w:rPr>
      <w:color w:val="918585"/>
      <w:sz w:val="20"/>
    </w:rPr>
  </w:style>
  <w:style w:type="paragraph" w:styleId="Heading6">
    <w:name w:val="heading 6"/>
    <w:basedOn w:val="HeadingBase"/>
    <w:next w:val="Normal"/>
    <w:link w:val="Heading6Char"/>
    <w:qFormat/>
    <w:rsid w:val="00BF36E6"/>
    <w:pPr>
      <w:spacing w:before="60"/>
      <w:outlineLvl w:val="5"/>
    </w:pPr>
    <w:rPr>
      <w:color w:val="918585"/>
      <w:sz w:val="20"/>
    </w:rPr>
  </w:style>
  <w:style w:type="paragraph" w:styleId="Heading7">
    <w:name w:val="heading 7"/>
    <w:basedOn w:val="Normal"/>
    <w:next w:val="Normal"/>
    <w:link w:val="Heading7Char"/>
    <w:qFormat/>
    <w:rsid w:val="00BF36E6"/>
    <w:pPr>
      <w:ind w:left="720"/>
      <w:outlineLvl w:val="6"/>
    </w:pPr>
    <w:rPr>
      <w:i/>
    </w:rPr>
  </w:style>
  <w:style w:type="paragraph" w:styleId="Heading8">
    <w:name w:val="heading 8"/>
    <w:basedOn w:val="Normal"/>
    <w:next w:val="Normal"/>
    <w:link w:val="Heading8Char"/>
    <w:qFormat/>
    <w:rsid w:val="00BF36E6"/>
    <w:pPr>
      <w:ind w:left="720"/>
      <w:outlineLvl w:val="7"/>
    </w:pPr>
    <w:rPr>
      <w:i/>
    </w:rPr>
  </w:style>
  <w:style w:type="paragraph" w:styleId="Heading9">
    <w:name w:val="heading 9"/>
    <w:basedOn w:val="Normal"/>
    <w:next w:val="Normal"/>
    <w:link w:val="Heading9Char"/>
    <w:qFormat/>
    <w:rsid w:val="00BF36E6"/>
    <w:pPr>
      <w:ind w:left="720"/>
      <w:outlineLvl w:val="8"/>
    </w:pPr>
    <w:rPr>
      <w:i/>
    </w:rPr>
  </w:style>
  <w:style w:type="character" w:default="1" w:styleId="DefaultParagraphFont">
    <w:name w:val="Default Paragraph Font"/>
    <w:uiPriority w:val="1"/>
    <w:unhideWhenUsed/>
    <w:rsid w:val="00BF3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6E6"/>
  </w:style>
  <w:style w:type="character" w:customStyle="1" w:styleId="Heading1Char">
    <w:name w:val="Heading 1 Char"/>
    <w:basedOn w:val="DefaultParagraphFont"/>
    <w:link w:val="Heading1"/>
    <w:rsid w:val="00BF36E6"/>
    <w:rPr>
      <w:rFonts w:ascii="Times New Roman" w:eastAsia="Times New Roman" w:hAnsi="Times New Roman" w:cs="Times New Roman"/>
      <w:b/>
      <w:sz w:val="32"/>
      <w:szCs w:val="20"/>
      <w:lang w:eastAsia="en-US"/>
    </w:rPr>
  </w:style>
  <w:style w:type="paragraph" w:styleId="BodyText">
    <w:name w:val="Body Text"/>
    <w:basedOn w:val="Normal"/>
    <w:link w:val="BodyTextChar"/>
    <w:rsid w:val="00BF36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6E6"/>
    <w:rPr>
      <w:rFonts w:ascii="Times New Roman" w:eastAsia="Times New Roman" w:hAnsi="Times New Roman" w:cs="Times New Roman"/>
      <w:sz w:val="24"/>
      <w:lang w:eastAsia="en-US"/>
    </w:rPr>
  </w:style>
  <w:style w:type="character" w:styleId="Emphasis">
    <w:name w:val="Emphasis"/>
    <w:basedOn w:val="DefaultParagraphFont"/>
    <w:qFormat/>
    <w:rsid w:val="00BF36E6"/>
    <w:rPr>
      <w:i/>
    </w:rPr>
  </w:style>
  <w:style w:type="paragraph" w:customStyle="1" w:styleId="SuperHeading">
    <w:name w:val="SuperHeading"/>
    <w:basedOn w:val="Normal"/>
    <w:rsid w:val="00BF36E6"/>
    <w:pPr>
      <w:spacing w:before="240" w:after="120"/>
      <w:outlineLvl w:val="0"/>
    </w:pPr>
    <w:rPr>
      <w:rFonts w:ascii="Times New Roman" w:hAnsi="Times New Roman"/>
      <w:b/>
      <w:sz w:val="32"/>
    </w:rPr>
  </w:style>
  <w:style w:type="paragraph" w:customStyle="1" w:styleId="AllowPageBreak">
    <w:name w:val="AllowPageBreak"/>
    <w:rsid w:val="00BF3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6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6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6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6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6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6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6E6"/>
    <w:rPr>
      <w:rFonts w:ascii="Courier New" w:eastAsia="Times New Roman" w:hAnsi="Courier New" w:cs="Times New Roman"/>
      <w:i/>
      <w:szCs w:val="20"/>
      <w:lang w:eastAsia="en-US"/>
    </w:rPr>
  </w:style>
  <w:style w:type="paragraph" w:customStyle="1" w:styleId="HeadingBase">
    <w:name w:val="Heading Base"/>
    <w:rsid w:val="00BF3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6E6"/>
    <w:pPr>
      <w:tabs>
        <w:tab w:val="right" w:leader="dot" w:pos="9072"/>
      </w:tabs>
      <w:ind w:left="567"/>
    </w:pPr>
    <w:rPr>
      <w:szCs w:val="22"/>
    </w:rPr>
  </w:style>
  <w:style w:type="paragraph" w:customStyle="1" w:styleId="TOCBase">
    <w:name w:val="TOC Base"/>
    <w:rsid w:val="00BF3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6E6"/>
    <w:pPr>
      <w:tabs>
        <w:tab w:val="right" w:leader="dot" w:pos="9072"/>
      </w:tabs>
      <w:spacing w:before="40" w:after="40"/>
      <w:ind w:left="284"/>
    </w:pPr>
    <w:rPr>
      <w:rFonts w:ascii="Times New Roman" w:hAnsi="Times New Roman"/>
    </w:rPr>
  </w:style>
  <w:style w:type="paragraph" w:styleId="TOC1">
    <w:name w:val="toc 1"/>
    <w:basedOn w:val="TOCBase"/>
    <w:next w:val="Normal"/>
    <w:rsid w:val="00BF36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6E6"/>
    <w:rPr>
      <w:rFonts w:ascii="Times New Roman" w:eastAsia="Times New Roman" w:hAnsi="Times New Roman" w:cs="Times New Roman"/>
      <w:sz w:val="16"/>
      <w:lang w:eastAsia="en-US"/>
    </w:rPr>
  </w:style>
  <w:style w:type="paragraph" w:styleId="Title">
    <w:name w:val="Title"/>
    <w:basedOn w:val="HeadingBase"/>
    <w:link w:val="TitleChar"/>
    <w:qFormat/>
    <w:rsid w:val="00BF36E6"/>
    <w:pPr>
      <w:spacing w:before="5040"/>
      <w:jc w:val="center"/>
    </w:pPr>
    <w:rPr>
      <w:sz w:val="48"/>
      <w:szCs w:val="72"/>
      <w:lang w:val="en-US"/>
    </w:rPr>
  </w:style>
  <w:style w:type="character" w:customStyle="1" w:styleId="TitleChar">
    <w:name w:val="Title Char"/>
    <w:basedOn w:val="DefaultParagraphFont"/>
    <w:link w:val="Title"/>
    <w:rsid w:val="00BF3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6E6"/>
    <w:pPr>
      <w:tabs>
        <w:tab w:val="left" w:pos="3600"/>
        <w:tab w:val="left" w:pos="3958"/>
      </w:tabs>
    </w:pPr>
  </w:style>
  <w:style w:type="paragraph" w:styleId="List">
    <w:name w:val="List"/>
    <w:basedOn w:val="BodyText"/>
    <w:next w:val="BodyText"/>
    <w:rsid w:val="00BF36E6"/>
    <w:pPr>
      <w:tabs>
        <w:tab w:val="left" w:pos="340"/>
      </w:tabs>
      <w:spacing w:before="60" w:after="60"/>
      <w:ind w:left="340" w:hanging="340"/>
    </w:pPr>
  </w:style>
  <w:style w:type="paragraph" w:styleId="ListBullet">
    <w:name w:val="List Bullet"/>
    <w:basedOn w:val="List"/>
    <w:rsid w:val="00BF36E6"/>
    <w:pPr>
      <w:numPr>
        <w:numId w:val="10"/>
      </w:numPr>
      <w:tabs>
        <w:tab w:val="clear" w:pos="340"/>
      </w:tabs>
      <w:spacing w:before="40" w:after="40"/>
    </w:pPr>
  </w:style>
  <w:style w:type="paragraph" w:customStyle="1" w:styleId="Note">
    <w:name w:val="Note"/>
    <w:basedOn w:val="BodyText"/>
    <w:rsid w:val="00BF36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36E6"/>
    <w:rPr>
      <w:b/>
      <w:spacing w:val="0"/>
    </w:rPr>
  </w:style>
  <w:style w:type="paragraph" w:customStyle="1" w:styleId="SuperTitle">
    <w:name w:val="SuperTitle"/>
    <w:basedOn w:val="Title"/>
    <w:rsid w:val="00BF36E6"/>
    <w:pPr>
      <w:framePr w:wrap="auto" w:hAnchor="text" w:y="6049"/>
    </w:pPr>
    <w:rPr>
      <w:color w:val="000000"/>
      <w:sz w:val="40"/>
    </w:rPr>
  </w:style>
  <w:style w:type="paragraph" w:customStyle="1" w:styleId="TOCTitle">
    <w:name w:val="TOCTitle"/>
    <w:basedOn w:val="Heading1"/>
    <w:rsid w:val="00BF36E6"/>
    <w:pPr>
      <w:spacing w:after="240"/>
      <w:jc w:val="center"/>
      <w:outlineLvl w:val="9"/>
    </w:pPr>
    <w:rPr>
      <w:caps/>
    </w:rPr>
  </w:style>
  <w:style w:type="paragraph" w:customStyle="1" w:styleId="Version">
    <w:name w:val="Version"/>
    <w:rsid w:val="00BF36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6E6"/>
    <w:pPr>
      <w:numPr>
        <w:numId w:val="11"/>
      </w:numPr>
      <w:tabs>
        <w:tab w:val="clear" w:pos="680"/>
      </w:tabs>
    </w:pPr>
  </w:style>
  <w:style w:type="paragraph" w:styleId="Index1">
    <w:name w:val="index 1"/>
    <w:basedOn w:val="Normal"/>
    <w:next w:val="Normal"/>
    <w:semiHidden/>
    <w:rsid w:val="00BF36E6"/>
    <w:pPr>
      <w:keepNext w:val="0"/>
      <w:tabs>
        <w:tab w:val="right" w:pos="4176"/>
      </w:tabs>
      <w:ind w:left="198" w:hanging="198"/>
    </w:pPr>
    <w:rPr>
      <w:rFonts w:ascii="Garamond" w:hAnsi="Garamond"/>
    </w:rPr>
  </w:style>
  <w:style w:type="paragraph" w:styleId="IndexHeading">
    <w:name w:val="index heading"/>
    <w:basedOn w:val="Normal"/>
    <w:next w:val="Index1"/>
    <w:semiHidden/>
    <w:rsid w:val="00BF36E6"/>
    <w:pPr>
      <w:spacing w:before="120" w:after="120"/>
    </w:pPr>
    <w:rPr>
      <w:rFonts w:ascii="Arial" w:hAnsi="Arial"/>
      <w:b/>
      <w:color w:val="918585"/>
      <w:sz w:val="24"/>
    </w:rPr>
  </w:style>
  <w:style w:type="paragraph" w:styleId="Header">
    <w:name w:val="header"/>
    <w:basedOn w:val="Normal"/>
    <w:link w:val="HeaderChar"/>
    <w:rsid w:val="00BF3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6E6"/>
    <w:rPr>
      <w:rFonts w:ascii="Times New Roman" w:eastAsia="Times New Roman" w:hAnsi="Times New Roman" w:cs="Times New Roman"/>
      <w:sz w:val="16"/>
      <w:szCs w:val="20"/>
      <w:lang w:val="en-GB" w:eastAsia="en-US"/>
    </w:rPr>
  </w:style>
  <w:style w:type="paragraph" w:customStyle="1" w:styleId="Chapter">
    <w:name w:val="Chapter"/>
    <w:basedOn w:val="Normal"/>
    <w:rsid w:val="00BF36E6"/>
    <w:pPr>
      <w:spacing w:before="240"/>
    </w:pPr>
    <w:rPr>
      <w:rFonts w:ascii="Times New Roman" w:hAnsi="Times New Roman"/>
      <w:smallCaps/>
      <w:spacing w:val="80"/>
      <w:sz w:val="28"/>
    </w:rPr>
  </w:style>
  <w:style w:type="paragraph" w:customStyle="1" w:styleId="InChapter">
    <w:name w:val="InChapter"/>
    <w:basedOn w:val="Heading3"/>
    <w:rsid w:val="00BF36E6"/>
    <w:pPr>
      <w:spacing w:after="240"/>
      <w:outlineLvl w:val="9"/>
    </w:pPr>
    <w:rPr>
      <w:noProof/>
    </w:rPr>
  </w:style>
  <w:style w:type="paragraph" w:styleId="Index2">
    <w:name w:val="index 2"/>
    <w:basedOn w:val="Normal"/>
    <w:next w:val="Normal"/>
    <w:semiHidden/>
    <w:rsid w:val="00BF36E6"/>
    <w:pPr>
      <w:tabs>
        <w:tab w:val="right" w:pos="4176"/>
      </w:tabs>
      <w:ind w:left="568" w:hanging="284"/>
    </w:pPr>
    <w:rPr>
      <w:rFonts w:ascii="Garamond" w:hAnsi="Garamond"/>
    </w:rPr>
  </w:style>
  <w:style w:type="paragraph" w:customStyle="1" w:styleId="Byline">
    <w:name w:val="Byline"/>
    <w:rsid w:val="00BF3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6E6"/>
    <w:pPr>
      <w:tabs>
        <w:tab w:val="clear" w:pos="3600"/>
        <w:tab w:val="clear" w:pos="3958"/>
      </w:tabs>
      <w:jc w:val="right"/>
    </w:pPr>
  </w:style>
  <w:style w:type="paragraph" w:styleId="Caption">
    <w:name w:val="caption"/>
    <w:basedOn w:val="BodyText"/>
    <w:next w:val="Normal"/>
    <w:qFormat/>
    <w:rsid w:val="00BF36E6"/>
    <w:pPr>
      <w:framePr w:w="2268" w:hSpace="181" w:vSpace="181" w:wrap="around" w:vAnchor="text" w:hAnchor="page" w:x="1135" w:y="285" w:anchorLock="1"/>
    </w:pPr>
    <w:rPr>
      <w:i/>
    </w:rPr>
  </w:style>
  <w:style w:type="paragraph" w:customStyle="1" w:styleId="MiniTOCTitle">
    <w:name w:val="MiniTOCTitle"/>
    <w:basedOn w:val="Heading4"/>
    <w:rsid w:val="00BF36E6"/>
    <w:pPr>
      <w:spacing w:before="240"/>
      <w:outlineLvl w:val="9"/>
    </w:pPr>
    <w:rPr>
      <w:noProof/>
      <w:sz w:val="24"/>
    </w:rPr>
  </w:style>
  <w:style w:type="paragraph" w:customStyle="1" w:styleId="MiniTOCItem">
    <w:name w:val="MiniTOCItem"/>
    <w:basedOn w:val="ListBullet"/>
    <w:rsid w:val="00BF36E6"/>
    <w:pPr>
      <w:numPr>
        <w:numId w:val="0"/>
      </w:numPr>
      <w:tabs>
        <w:tab w:val="right" w:leader="dot" w:pos="6521"/>
      </w:tabs>
      <w:spacing w:before="0" w:after="0"/>
    </w:pPr>
  </w:style>
  <w:style w:type="paragraph" w:customStyle="1" w:styleId="TOFTitle">
    <w:name w:val="TOFTitle"/>
    <w:basedOn w:val="TOCTitle"/>
    <w:rsid w:val="00BF36E6"/>
  </w:style>
  <w:style w:type="paragraph" w:styleId="TableofFigures">
    <w:name w:val="table of figures"/>
    <w:basedOn w:val="Normal"/>
    <w:next w:val="Normal"/>
    <w:semiHidden/>
    <w:rsid w:val="00BF36E6"/>
    <w:pPr>
      <w:tabs>
        <w:tab w:val="right" w:leader="dot" w:pos="9072"/>
      </w:tabs>
      <w:ind w:left="970" w:hanging="403"/>
    </w:pPr>
    <w:rPr>
      <w:rFonts w:ascii="Times New Roman" w:hAnsi="Times New Roman"/>
      <w:b/>
    </w:rPr>
  </w:style>
  <w:style w:type="paragraph" w:styleId="ListNumber">
    <w:name w:val="List Number"/>
    <w:basedOn w:val="List"/>
    <w:rsid w:val="00BF36E6"/>
    <w:pPr>
      <w:numPr>
        <w:numId w:val="13"/>
      </w:numPr>
      <w:tabs>
        <w:tab w:val="clear" w:pos="340"/>
      </w:tabs>
    </w:pPr>
  </w:style>
  <w:style w:type="character" w:customStyle="1" w:styleId="WingdingSymbols">
    <w:name w:val="Wingding Symbols"/>
    <w:rsid w:val="00BF36E6"/>
    <w:rPr>
      <w:rFonts w:ascii="Wingdings" w:hAnsi="Wingdings"/>
    </w:rPr>
  </w:style>
  <w:style w:type="paragraph" w:customStyle="1" w:styleId="TableHeading">
    <w:name w:val="Table Heading"/>
    <w:basedOn w:val="HeadingBase"/>
    <w:rsid w:val="00BF36E6"/>
    <w:pPr>
      <w:keepLines/>
      <w:pBdr>
        <w:bottom w:val="single" w:sz="6" w:space="1" w:color="918585"/>
      </w:pBdr>
      <w:spacing w:before="240"/>
    </w:pPr>
  </w:style>
  <w:style w:type="character" w:customStyle="1" w:styleId="HotSpot">
    <w:name w:val="HotSpot"/>
    <w:rsid w:val="00BF36E6"/>
    <w:rPr>
      <w:color w:val="0033CC"/>
      <w:u w:val="none"/>
    </w:rPr>
  </w:style>
  <w:style w:type="paragraph" w:customStyle="1" w:styleId="BodyTextRight">
    <w:name w:val="Body Text Right"/>
    <w:basedOn w:val="BodyText"/>
    <w:rsid w:val="00BF36E6"/>
    <w:pPr>
      <w:spacing w:before="0" w:after="0"/>
      <w:jc w:val="right"/>
    </w:pPr>
  </w:style>
  <w:style w:type="paragraph" w:styleId="Index3">
    <w:name w:val="index 3"/>
    <w:basedOn w:val="ListNumber2"/>
    <w:next w:val="Normal"/>
    <w:semiHidden/>
    <w:rsid w:val="00BF36E6"/>
    <w:pPr>
      <w:numPr>
        <w:numId w:val="0"/>
      </w:numPr>
      <w:tabs>
        <w:tab w:val="right" w:leader="dot" w:pos="4176"/>
      </w:tabs>
    </w:pPr>
  </w:style>
  <w:style w:type="paragraph" w:styleId="ListNumber2">
    <w:name w:val="List Number 2"/>
    <w:basedOn w:val="List2"/>
    <w:rsid w:val="00BF36E6"/>
    <w:pPr>
      <w:numPr>
        <w:numId w:val="8"/>
      </w:numPr>
      <w:tabs>
        <w:tab w:val="clear" w:pos="1060"/>
      </w:tabs>
    </w:pPr>
  </w:style>
  <w:style w:type="paragraph" w:customStyle="1" w:styleId="MarginNote">
    <w:name w:val="Margin Note"/>
    <w:basedOn w:val="BodyText"/>
    <w:rsid w:val="00BF3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6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6E6"/>
    <w:rPr>
      <w:sz w:val="32"/>
    </w:rPr>
  </w:style>
  <w:style w:type="paragraph" w:customStyle="1" w:styleId="HeadingProcedure">
    <w:name w:val="Heading Procedure"/>
    <w:basedOn w:val="HeadingBase"/>
    <w:next w:val="Normal"/>
    <w:rsid w:val="00BF36E6"/>
    <w:pPr>
      <w:tabs>
        <w:tab w:val="left" w:pos="0"/>
      </w:tabs>
      <w:spacing w:before="120" w:after="60"/>
    </w:pPr>
    <w:rPr>
      <w:i/>
      <w:color w:val="918585"/>
      <w:sz w:val="22"/>
    </w:rPr>
  </w:style>
  <w:style w:type="paragraph" w:customStyle="1" w:styleId="TableBodyText">
    <w:name w:val="Table Body Text"/>
    <w:basedOn w:val="BodyText"/>
    <w:rsid w:val="00BF36E6"/>
    <w:pPr>
      <w:spacing w:before="60" w:after="60"/>
    </w:pPr>
  </w:style>
  <w:style w:type="paragraph" w:styleId="ListContinue">
    <w:name w:val="List Continue"/>
    <w:basedOn w:val="List"/>
    <w:rsid w:val="00BF36E6"/>
    <w:pPr>
      <w:ind w:firstLine="0"/>
    </w:pPr>
  </w:style>
  <w:style w:type="paragraph" w:customStyle="1" w:styleId="ListNote">
    <w:name w:val="List Note"/>
    <w:basedOn w:val="List"/>
    <w:rsid w:val="00BF36E6"/>
    <w:pPr>
      <w:pBdr>
        <w:top w:val="single" w:sz="6" w:space="2" w:color="918585"/>
        <w:bottom w:val="single" w:sz="6" w:space="2" w:color="918585"/>
      </w:pBdr>
      <w:tabs>
        <w:tab w:val="left" w:pos="1021"/>
      </w:tabs>
      <w:ind w:firstLine="0"/>
    </w:pPr>
  </w:style>
  <w:style w:type="paragraph" w:customStyle="1" w:styleId="Warning">
    <w:name w:val="Warning"/>
    <w:basedOn w:val="BodyText"/>
    <w:rsid w:val="00BF36E6"/>
    <w:pPr>
      <w:shd w:val="clear" w:color="auto" w:fill="D9D9D9"/>
      <w:tabs>
        <w:tab w:val="left" w:pos="992"/>
      </w:tabs>
      <w:ind w:left="119" w:right="119"/>
    </w:pPr>
    <w:rPr>
      <w:sz w:val="20"/>
    </w:rPr>
  </w:style>
  <w:style w:type="paragraph" w:customStyle="1" w:styleId="MarginIcons">
    <w:name w:val="Margin Icons"/>
    <w:basedOn w:val="BodyText"/>
    <w:rsid w:val="00BF36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6E6"/>
    <w:rPr>
      <w:rFonts w:ascii="Courier New" w:hAnsi="Courier New"/>
    </w:rPr>
  </w:style>
  <w:style w:type="paragraph" w:customStyle="1" w:styleId="NoteBullet">
    <w:name w:val="Note Bullet"/>
    <w:basedOn w:val="Note"/>
    <w:rsid w:val="00BF36E6"/>
    <w:pPr>
      <w:tabs>
        <w:tab w:val="clear" w:pos="680"/>
      </w:tabs>
      <w:spacing w:before="60" w:after="60"/>
    </w:pPr>
  </w:style>
  <w:style w:type="paragraph" w:customStyle="1" w:styleId="SubHeading2">
    <w:name w:val="SubHeading2"/>
    <w:basedOn w:val="HeadingBase"/>
    <w:rsid w:val="00BF36E6"/>
    <w:pPr>
      <w:spacing w:before="240" w:after="60"/>
    </w:pPr>
    <w:rPr>
      <w:sz w:val="20"/>
    </w:rPr>
  </w:style>
  <w:style w:type="paragraph" w:customStyle="1" w:styleId="SubHeading1">
    <w:name w:val="SubHeading1"/>
    <w:basedOn w:val="HeadingBase"/>
    <w:rsid w:val="00BF36E6"/>
    <w:pPr>
      <w:spacing w:before="240" w:after="60"/>
    </w:pPr>
    <w:rPr>
      <w:color w:val="918585"/>
      <w:sz w:val="22"/>
    </w:rPr>
  </w:style>
  <w:style w:type="paragraph" w:customStyle="1" w:styleId="SideHeading">
    <w:name w:val="Side Heading"/>
    <w:basedOn w:val="HeadingBase"/>
    <w:rsid w:val="00BF3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6E6"/>
    <w:pPr>
      <w:numPr>
        <w:numId w:val="9"/>
      </w:numPr>
    </w:pPr>
  </w:style>
  <w:style w:type="paragraph" w:styleId="PlainText">
    <w:name w:val="Plain Text"/>
    <w:basedOn w:val="Normal"/>
    <w:link w:val="PlainTextChar"/>
    <w:rsid w:val="00BF36E6"/>
    <w:rPr>
      <w:sz w:val="20"/>
    </w:rPr>
  </w:style>
  <w:style w:type="character" w:customStyle="1" w:styleId="PlainTextChar">
    <w:name w:val="Plain Text Char"/>
    <w:basedOn w:val="DefaultParagraphFont"/>
    <w:link w:val="PlainText"/>
    <w:rsid w:val="00BF36E6"/>
    <w:rPr>
      <w:rFonts w:ascii="Courier New" w:eastAsia="Times New Roman" w:hAnsi="Courier New" w:cs="Times New Roman"/>
      <w:sz w:val="20"/>
      <w:szCs w:val="20"/>
      <w:lang w:eastAsia="en-US"/>
    </w:rPr>
  </w:style>
  <w:style w:type="character" w:customStyle="1" w:styleId="MenuOption">
    <w:name w:val="Menu Option"/>
    <w:basedOn w:val="DefaultParagraphFont"/>
    <w:rsid w:val="00BF36E6"/>
    <w:rPr>
      <w:b/>
      <w:smallCaps/>
    </w:rPr>
  </w:style>
  <w:style w:type="paragraph" w:customStyle="1" w:styleId="TableListNumber">
    <w:name w:val="Table List Number"/>
    <w:basedOn w:val="ListNumber"/>
    <w:rsid w:val="00BF36E6"/>
    <w:pPr>
      <w:numPr>
        <w:numId w:val="0"/>
      </w:numPr>
    </w:pPr>
  </w:style>
  <w:style w:type="paragraph" w:styleId="TOC4">
    <w:name w:val="toc 4"/>
    <w:basedOn w:val="TOCBase"/>
    <w:next w:val="Normal"/>
    <w:semiHidden/>
    <w:rsid w:val="00BF36E6"/>
    <w:pPr>
      <w:tabs>
        <w:tab w:val="right" w:leader="dot" w:pos="9071"/>
      </w:tabs>
      <w:ind w:left="1701"/>
    </w:pPr>
  </w:style>
  <w:style w:type="paragraph" w:customStyle="1" w:styleId="ListAlpha">
    <w:name w:val="List Alpha"/>
    <w:basedOn w:val="List"/>
    <w:rsid w:val="00BF36E6"/>
    <w:pPr>
      <w:numPr>
        <w:numId w:val="7"/>
      </w:numPr>
    </w:pPr>
  </w:style>
  <w:style w:type="paragraph" w:customStyle="1" w:styleId="ListAlpha2">
    <w:name w:val="List Alpha 2"/>
    <w:basedOn w:val="List2"/>
    <w:rsid w:val="00BF36E6"/>
    <w:pPr>
      <w:numPr>
        <w:numId w:val="6"/>
      </w:numPr>
    </w:pPr>
  </w:style>
  <w:style w:type="paragraph" w:styleId="List2">
    <w:name w:val="List 2"/>
    <w:basedOn w:val="BodyText"/>
    <w:rsid w:val="00BF36E6"/>
    <w:pPr>
      <w:tabs>
        <w:tab w:val="left" w:pos="680"/>
      </w:tabs>
      <w:spacing w:before="60" w:after="60"/>
      <w:ind w:left="680" w:hanging="340"/>
    </w:pPr>
  </w:style>
  <w:style w:type="paragraph" w:styleId="List3">
    <w:name w:val="List 3"/>
    <w:basedOn w:val="BodyText"/>
    <w:rsid w:val="00BF36E6"/>
    <w:pPr>
      <w:tabs>
        <w:tab w:val="left" w:pos="1021"/>
      </w:tabs>
      <w:spacing w:before="60" w:after="60"/>
      <w:ind w:left="1020" w:hanging="340"/>
    </w:pPr>
  </w:style>
  <w:style w:type="paragraph" w:styleId="List4">
    <w:name w:val="List 4"/>
    <w:basedOn w:val="BodyText"/>
    <w:rsid w:val="00BF36E6"/>
    <w:pPr>
      <w:tabs>
        <w:tab w:val="left" w:pos="1361"/>
      </w:tabs>
      <w:spacing w:before="60" w:after="60"/>
      <w:ind w:left="1361" w:hanging="340"/>
    </w:pPr>
  </w:style>
  <w:style w:type="paragraph" w:styleId="List5">
    <w:name w:val="List 5"/>
    <w:basedOn w:val="BodyText"/>
    <w:rsid w:val="00BF36E6"/>
    <w:pPr>
      <w:tabs>
        <w:tab w:val="left" w:pos="1701"/>
      </w:tabs>
      <w:spacing w:before="60" w:after="60"/>
      <w:ind w:left="1701" w:hanging="340"/>
    </w:pPr>
  </w:style>
  <w:style w:type="paragraph" w:styleId="ListBullet3">
    <w:name w:val="List Bullet 3"/>
    <w:basedOn w:val="List3"/>
    <w:rsid w:val="00BF36E6"/>
    <w:pPr>
      <w:numPr>
        <w:numId w:val="12"/>
      </w:numPr>
      <w:tabs>
        <w:tab w:val="clear" w:pos="1021"/>
      </w:tabs>
      <w:ind w:left="1037" w:hanging="357"/>
    </w:pPr>
  </w:style>
  <w:style w:type="paragraph" w:styleId="ListBullet4">
    <w:name w:val="List Bullet 4"/>
    <w:basedOn w:val="List4"/>
    <w:rsid w:val="00BF36E6"/>
    <w:pPr>
      <w:numPr>
        <w:numId w:val="1"/>
      </w:numPr>
      <w:tabs>
        <w:tab w:val="clear" w:pos="1361"/>
      </w:tabs>
    </w:pPr>
  </w:style>
  <w:style w:type="paragraph" w:styleId="ListBullet5">
    <w:name w:val="List Bullet 5"/>
    <w:basedOn w:val="List5"/>
    <w:rsid w:val="00BF36E6"/>
    <w:pPr>
      <w:numPr>
        <w:numId w:val="2"/>
      </w:numPr>
    </w:pPr>
  </w:style>
  <w:style w:type="paragraph" w:styleId="ListContinue2">
    <w:name w:val="List Continue 2"/>
    <w:basedOn w:val="List2"/>
    <w:rsid w:val="00BF36E6"/>
    <w:pPr>
      <w:ind w:firstLine="0"/>
    </w:pPr>
  </w:style>
  <w:style w:type="paragraph" w:styleId="ListContinue3">
    <w:name w:val="List Continue 3"/>
    <w:basedOn w:val="List3"/>
    <w:rsid w:val="00BF36E6"/>
    <w:pPr>
      <w:ind w:left="1021" w:firstLine="0"/>
    </w:pPr>
  </w:style>
  <w:style w:type="paragraph" w:styleId="ListContinue4">
    <w:name w:val="List Continue 4"/>
    <w:basedOn w:val="List4"/>
    <w:rsid w:val="00BF36E6"/>
    <w:pPr>
      <w:ind w:firstLine="0"/>
    </w:pPr>
  </w:style>
  <w:style w:type="paragraph" w:styleId="ListContinue5">
    <w:name w:val="List Continue 5"/>
    <w:basedOn w:val="List5"/>
    <w:rsid w:val="00BF36E6"/>
    <w:pPr>
      <w:ind w:firstLine="0"/>
    </w:pPr>
  </w:style>
  <w:style w:type="paragraph" w:styleId="ListNumber3">
    <w:name w:val="List Number 3"/>
    <w:basedOn w:val="List3"/>
    <w:rsid w:val="00BF36E6"/>
    <w:pPr>
      <w:numPr>
        <w:numId w:val="3"/>
      </w:numPr>
    </w:pPr>
  </w:style>
  <w:style w:type="paragraph" w:styleId="ListNumber4">
    <w:name w:val="List Number 4"/>
    <w:basedOn w:val="List4"/>
    <w:rsid w:val="00BF36E6"/>
    <w:pPr>
      <w:numPr>
        <w:numId w:val="4"/>
      </w:numPr>
    </w:pPr>
  </w:style>
  <w:style w:type="paragraph" w:styleId="ListNumber5">
    <w:name w:val="List Number 5"/>
    <w:basedOn w:val="List5"/>
    <w:rsid w:val="00BF36E6"/>
    <w:pPr>
      <w:numPr>
        <w:numId w:val="5"/>
      </w:numPr>
    </w:pPr>
  </w:style>
  <w:style w:type="paragraph" w:styleId="BlockText">
    <w:name w:val="Block Text"/>
    <w:basedOn w:val="Normal"/>
    <w:rsid w:val="00BF36E6"/>
    <w:pPr>
      <w:spacing w:after="120"/>
      <w:ind w:left="1440" w:right="1440"/>
    </w:pPr>
  </w:style>
  <w:style w:type="character" w:customStyle="1" w:styleId="Subscript">
    <w:name w:val="Subscript"/>
    <w:basedOn w:val="DefaultParagraphFont"/>
    <w:rsid w:val="00BF36E6"/>
    <w:rPr>
      <w:sz w:val="16"/>
      <w:vertAlign w:val="subscript"/>
    </w:rPr>
  </w:style>
  <w:style w:type="character" w:customStyle="1" w:styleId="Superscript">
    <w:name w:val="Superscript"/>
    <w:basedOn w:val="DefaultParagraphFont"/>
    <w:rsid w:val="00BF36E6"/>
    <w:rPr>
      <w:sz w:val="16"/>
      <w:vertAlign w:val="superscript"/>
    </w:rPr>
  </w:style>
  <w:style w:type="character" w:customStyle="1" w:styleId="Symbols">
    <w:name w:val="Symbols"/>
    <w:basedOn w:val="DefaultParagraphFont"/>
    <w:rsid w:val="00BF36E6"/>
    <w:rPr>
      <w:rFonts w:ascii="Symbol" w:hAnsi="Symbol"/>
    </w:rPr>
  </w:style>
  <w:style w:type="character" w:customStyle="1" w:styleId="MenuOptions">
    <w:name w:val="Menu Options"/>
    <w:basedOn w:val="DefaultParagraphFont"/>
    <w:rsid w:val="00BF36E6"/>
    <w:rPr>
      <w:rFonts w:ascii="Arial Narrow" w:hAnsi="Arial Narrow"/>
      <w:smallCaps/>
    </w:rPr>
  </w:style>
  <w:style w:type="character" w:customStyle="1" w:styleId="Buttons">
    <w:name w:val="Buttons"/>
    <w:basedOn w:val="DefaultParagraphFont"/>
    <w:rsid w:val="00BF36E6"/>
    <w:rPr>
      <w:b/>
    </w:rPr>
  </w:style>
  <w:style w:type="character" w:customStyle="1" w:styleId="Underlined">
    <w:name w:val="Underlined"/>
    <w:basedOn w:val="DefaultParagraphFont"/>
    <w:rsid w:val="00BF36E6"/>
    <w:rPr>
      <w:u w:val="single"/>
    </w:rPr>
  </w:style>
  <w:style w:type="paragraph" w:customStyle="1" w:styleId="TableBodyTextRight">
    <w:name w:val="Table Body Text Right"/>
    <w:basedOn w:val="TableBodyText"/>
    <w:rsid w:val="00BF36E6"/>
    <w:pPr>
      <w:widowControl w:val="0"/>
      <w:autoSpaceDE w:val="0"/>
      <w:autoSpaceDN w:val="0"/>
      <w:adjustRightInd w:val="0"/>
      <w:jc w:val="right"/>
    </w:pPr>
    <w:rPr>
      <w:rFonts w:cs="Arial"/>
      <w:szCs w:val="18"/>
    </w:rPr>
  </w:style>
  <w:style w:type="paragraph" w:customStyle="1" w:styleId="CopyrightText">
    <w:name w:val="Copyright Text"/>
    <w:basedOn w:val="BodyText"/>
    <w:rsid w:val="00BF36E6"/>
    <w:rPr>
      <w:sz w:val="18"/>
    </w:rPr>
  </w:style>
  <w:style w:type="paragraph" w:customStyle="1" w:styleId="BodySmallRight">
    <w:name w:val="Body Small Right"/>
    <w:basedOn w:val="BodyTextRight"/>
    <w:rsid w:val="00BF36E6"/>
    <w:rPr>
      <w:sz w:val="18"/>
      <w:szCs w:val="18"/>
    </w:rPr>
  </w:style>
  <w:style w:type="paragraph" w:customStyle="1" w:styleId="MarginEdition">
    <w:name w:val="Margin Edition"/>
    <w:basedOn w:val="MarginNote"/>
    <w:rsid w:val="00BF36E6"/>
    <w:pPr>
      <w:spacing w:before="0" w:after="0"/>
    </w:pPr>
    <w:rPr>
      <w:rFonts w:ascii="Times New Roman" w:hAnsi="Times New Roman"/>
      <w:color w:val="999999"/>
    </w:rPr>
  </w:style>
  <w:style w:type="paragraph" w:customStyle="1" w:styleId="Spacer">
    <w:name w:val="Spacer"/>
    <w:basedOn w:val="Normal"/>
    <w:rsid w:val="00BF36E6"/>
    <w:rPr>
      <w:sz w:val="2"/>
      <w:szCs w:val="2"/>
    </w:rPr>
  </w:style>
  <w:style w:type="character" w:customStyle="1" w:styleId="Small">
    <w:name w:val="Small"/>
    <w:basedOn w:val="DefaultParagraphFont"/>
    <w:rsid w:val="00BF36E6"/>
    <w:rPr>
      <w:sz w:val="16"/>
    </w:rPr>
  </w:style>
  <w:style w:type="paragraph" w:customStyle="1" w:styleId="WideTable">
    <w:name w:val="Wide Table"/>
    <w:basedOn w:val="Normal"/>
    <w:rsid w:val="00BF36E6"/>
    <w:pPr>
      <w:ind w:left="-1418"/>
    </w:pPr>
    <w:rPr>
      <w:sz w:val="2"/>
      <w:szCs w:val="2"/>
    </w:rPr>
  </w:style>
  <w:style w:type="character" w:styleId="PageNumber">
    <w:name w:val="page number"/>
    <w:basedOn w:val="DefaultParagraphFont"/>
    <w:rsid w:val="00BF36E6"/>
  </w:style>
  <w:style w:type="paragraph" w:styleId="Quote">
    <w:name w:val="Quote"/>
    <w:basedOn w:val="Heading1"/>
    <w:link w:val="QuoteChar"/>
    <w:qFormat/>
    <w:rsid w:val="00BF36E6"/>
    <w:rPr>
      <w:b w:val="0"/>
      <w:sz w:val="72"/>
      <w:szCs w:val="72"/>
      <w:lang w:val="en-NZ"/>
    </w:rPr>
  </w:style>
  <w:style w:type="character" w:customStyle="1" w:styleId="QuoteChar">
    <w:name w:val="Quote Char"/>
    <w:basedOn w:val="DefaultParagraphFont"/>
    <w:link w:val="Quote"/>
    <w:rsid w:val="00BF3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6E6"/>
    <w:pPr>
      <w:pageBreakBefore/>
    </w:pPr>
  </w:style>
  <w:style w:type="paragraph" w:customStyle="1" w:styleId="Border">
    <w:name w:val="Border"/>
    <w:basedOn w:val="Normal"/>
    <w:qFormat/>
    <w:rsid w:val="00BF36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6E6"/>
    <w:rPr>
      <w:b/>
      <w:bCs/>
      <w:i/>
      <w:iCs/>
      <w:color w:val="auto"/>
    </w:rPr>
  </w:style>
  <w:style w:type="paragraph" w:styleId="IntenseQuote">
    <w:name w:val="Intense Quote"/>
    <w:basedOn w:val="Normal"/>
    <w:next w:val="Normal"/>
    <w:link w:val="IntenseQuoteChar"/>
    <w:uiPriority w:val="30"/>
    <w:qFormat/>
    <w:rsid w:val="00BF36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6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6E6"/>
    <w:rPr>
      <w:smallCaps/>
      <w:color w:val="auto"/>
      <w:u w:val="single"/>
    </w:rPr>
  </w:style>
  <w:style w:type="character" w:styleId="IntenseReference">
    <w:name w:val="Intense Reference"/>
    <w:basedOn w:val="DefaultParagraphFont"/>
    <w:uiPriority w:val="32"/>
    <w:qFormat/>
    <w:rsid w:val="00BF36E6"/>
    <w:rPr>
      <w:b/>
      <w:bCs/>
      <w:smallCaps/>
      <w:color w:val="auto"/>
      <w:spacing w:val="5"/>
      <w:u w:val="single"/>
    </w:rPr>
  </w:style>
  <w:style w:type="paragraph" w:customStyle="1" w:styleId="2ColumnHeading">
    <w:name w:val="2Column Heading"/>
    <w:basedOn w:val="BodyText"/>
    <w:qFormat/>
    <w:rsid w:val="00BF36E6"/>
    <w:pPr>
      <w:spacing w:after="60"/>
      <w:ind w:left="-2268"/>
    </w:pPr>
    <w:rPr>
      <w:b/>
    </w:rPr>
  </w:style>
  <w:style w:type="paragraph" w:customStyle="1" w:styleId="Heading1TOC">
    <w:name w:val="Heading1 TOC"/>
    <w:basedOn w:val="Normal"/>
    <w:qFormat/>
    <w:rsid w:val="00BF36E6"/>
    <w:pPr>
      <w:spacing w:before="240" w:after="120"/>
    </w:pPr>
    <w:rPr>
      <w:rFonts w:ascii="Times New Roman" w:hAnsi="Times New Roman"/>
      <w:b/>
      <w:sz w:val="32"/>
    </w:rPr>
  </w:style>
  <w:style w:type="paragraph" w:customStyle="1" w:styleId="Heading2TOC">
    <w:name w:val="Heading2 TOC"/>
    <w:basedOn w:val="Normal"/>
    <w:qFormat/>
    <w:rsid w:val="00BF36E6"/>
    <w:pPr>
      <w:spacing w:before="240" w:after="60"/>
    </w:pPr>
    <w:rPr>
      <w:rFonts w:ascii="Times New Roman" w:hAnsi="Times New Roman"/>
      <w:b/>
      <w:sz w:val="28"/>
    </w:rPr>
  </w:style>
  <w:style w:type="character" w:customStyle="1" w:styleId="Underline">
    <w:name w:val="Underline"/>
    <w:basedOn w:val="DefaultParagraphFont"/>
    <w:qFormat/>
    <w:rsid w:val="00BF36E6"/>
    <w:rPr>
      <w:u w:val="single"/>
    </w:rPr>
  </w:style>
  <w:style w:type="character" w:customStyle="1" w:styleId="BoldandItalics">
    <w:name w:val="Bold and Italics"/>
    <w:qFormat/>
    <w:rsid w:val="00BF36E6"/>
    <w:rPr>
      <w:b/>
      <w:i/>
      <w:u w:val="none"/>
    </w:rPr>
  </w:style>
  <w:style w:type="paragraph" w:styleId="BalloonText">
    <w:name w:val="Balloon Text"/>
    <w:basedOn w:val="Normal"/>
    <w:link w:val="BalloonTextChar"/>
    <w:rsid w:val="00BF36E6"/>
    <w:rPr>
      <w:rFonts w:ascii="Tahoma" w:hAnsi="Tahoma" w:cs="Tahoma"/>
      <w:sz w:val="16"/>
      <w:szCs w:val="16"/>
    </w:rPr>
  </w:style>
  <w:style w:type="character" w:customStyle="1" w:styleId="BalloonTextChar">
    <w:name w:val="Balloon Text Char"/>
    <w:basedOn w:val="DefaultParagraphFont"/>
    <w:link w:val="BalloonText"/>
    <w:rsid w:val="00BF36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6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6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6E6"/>
    <w:rPr>
      <w:b/>
      <w:color w:val="660033"/>
      <w:spacing w:val="0"/>
    </w:rPr>
  </w:style>
  <w:style w:type="paragraph" w:customStyle="1" w:styleId="Nameditemlist">
    <w:name w:val="Named item list"/>
    <w:basedOn w:val="BodyText"/>
    <w:qFormat/>
    <w:rsid w:val="00BF36E6"/>
    <w:pPr>
      <w:tabs>
        <w:tab w:val="left" w:pos="2835"/>
      </w:tabs>
      <w:ind w:left="2835" w:hanging="2835"/>
    </w:pPr>
  </w:style>
  <w:style w:type="paragraph" w:customStyle="1" w:styleId="BodyTextnopadding">
    <w:name w:val="Body Text no padding"/>
    <w:basedOn w:val="BodyText"/>
    <w:qFormat/>
    <w:rsid w:val="00BF36E6"/>
    <w:pPr>
      <w:spacing w:before="0" w:after="0"/>
    </w:pPr>
  </w:style>
  <w:style w:type="paragraph" w:customStyle="1" w:styleId="BodyTextBold">
    <w:name w:val="Body Text Bold"/>
    <w:basedOn w:val="BodyText"/>
    <w:qFormat/>
    <w:rsid w:val="00BF36E6"/>
    <w:rPr>
      <w:b/>
    </w:rPr>
  </w:style>
  <w:style w:type="character" w:styleId="Hyperlink">
    <w:name w:val="Hyperlink"/>
    <w:basedOn w:val="DefaultParagraphFont"/>
    <w:uiPriority w:val="99"/>
    <w:unhideWhenUsed/>
    <w:rsid w:val="00E241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4481</Characters>
  <Application>Microsoft Office Word</Application>
  <DocSecurity>0</DocSecurity>
  <Lines>224</Lines>
  <Paragraphs>111</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CPCCPD3031 Work safely with lead-painted surfaces in the painting industry</dc:title>
  <dc:subject>Approved</dc:subject>
  <dc:creator>BuildSkills Australia</dc:creator>
  <cp:keywords>Release: 2</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