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23C7" w:rsidP="00A723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CPCCPD3030 Apply protective paint coating systems</w:t>
      </w:r>
      <w:r>
        <w:fldChar w:fldCharType="end"/>
      </w:r>
    </w:p>
    <w:p w:rsidR="00A723C7" w:rsidP="00A723C7">
      <w:pPr>
        <w:pStyle w:val="Version"/>
        <w:sectPr w:rsidSect="00616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616B97" w:rsidP="00616B97">
      <w:pPr>
        <w:pStyle w:val="SuperHeading"/>
      </w:pPr>
      <w:r w:rsidRPr="00616B97">
        <w:t>CPCCPD3030 Apply protective paint coating systems</w:t>
      </w:r>
    </w:p>
    <w:p w:rsidR="00000000" w:rsidRPr="00616B97" w:rsidP="00616B97">
      <w:pPr>
        <w:pStyle w:val="Heading1"/>
      </w:pPr>
      <w:bookmarkStart w:id="1" w:name="O_1292832"/>
      <w:bookmarkEnd w:id="1"/>
      <w:r w:rsidRPr="00616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Updated reference to general construction induction training program.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This version first released with CPC Construction, Plumbing and Services Training Package Release 6.5.</w:t>
            </w:r>
          </w:p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Change to Performance Evidence.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This version first released with CPC Construction, Plumbing and Services Training Package Release 6.4.</w:t>
            </w:r>
          </w:p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Correction to Training Package title in the Modification History from CPC Property Services to CPC Construction, Plumbing and Services Trainin</w:t>
            </w:r>
            <w:r w:rsidRPr="00616B97">
              <w:t>g Package.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This version first released with CPC Property Services Training Package Release 5.0.</w:t>
            </w:r>
          </w:p>
          <w:p w:rsidR="00000000" w:rsidRPr="00616B97" w:rsidP="00616B97">
            <w:pPr>
              <w:pStyle w:val="BodyText"/>
            </w:pPr>
            <w:r w:rsidRPr="00616B97">
              <w:t>Supersedes and is equivalent to CPCCPD3030B Apply protective paint coating systems.  Updated to meet the Standards for Training Packages 2012.</w:t>
            </w:r>
          </w:p>
        </w:tc>
      </w:tr>
    </w:tbl>
    <w:p w:rsidR="00000000" w:rsidRPr="00616B97" w:rsidP="00616B97">
      <w:pPr>
        <w:pStyle w:val="BodyText"/>
      </w:pPr>
    </w:p>
    <w:p w:rsidR="00000000" w:rsidRPr="00616B97" w:rsidP="00616B97">
      <w:pPr>
        <w:pStyle w:val="AllowPageBreak"/>
      </w:pPr>
    </w:p>
    <w:p w:rsidR="00000000" w:rsidRPr="00616B97" w:rsidP="00616B97">
      <w:pPr>
        <w:pStyle w:val="Heading1"/>
      </w:pPr>
      <w:bookmarkStart w:id="2" w:name="O_1292831"/>
      <w:bookmarkEnd w:id="2"/>
      <w:r w:rsidRPr="00616B97">
        <w:t>Application</w:t>
      </w:r>
    </w:p>
    <w:p w:rsidR="00000000" w:rsidRPr="00616B97" w:rsidP="00A723C7">
      <w:pPr>
        <w:pStyle w:val="BodyText"/>
      </w:pPr>
      <w:r w:rsidRPr="00616B97">
        <w:t>This unit of competency specifies the skills and knowledge required to apply specialised paint coating systems as a protective measure against atmospheric conditions, sanitation and hygiene risks and the impacts of high traffic a</w:t>
      </w:r>
      <w:r w:rsidRPr="00616B97">
        <w:t xml:space="preserve">reas. </w:t>
      </w:r>
    </w:p>
    <w:p w:rsidR="00000000" w:rsidRPr="00616B97" w:rsidP="00A723C7">
      <w:pPr>
        <w:pStyle w:val="BodyText"/>
      </w:pPr>
      <w:r w:rsidRPr="00616B97">
        <w:t>The unit includes preparation of the work area and materials, application of the coating system and clean-up activities.</w:t>
      </w:r>
    </w:p>
    <w:p w:rsidR="00000000" w:rsidRPr="00616B97" w:rsidP="00A723C7">
      <w:pPr>
        <w:pStyle w:val="BodyText"/>
      </w:pPr>
      <w:r w:rsidRPr="00616B97">
        <w:t>A person who has achieved this unit of competency would be expected to take responsibility for organising and completing these tasks with a high degree of self-direction.</w:t>
      </w:r>
    </w:p>
    <w:p w:rsidR="00000000" w:rsidRPr="00616B97" w:rsidP="00A723C7">
      <w:pPr>
        <w:pStyle w:val="BodyText"/>
      </w:pPr>
      <w:r w:rsidRPr="00616B97">
        <w:t>Completion of the general construction induction training program specified by the mo</w:t>
      </w:r>
      <w:r w:rsidRPr="00616B97">
        <w:t xml:space="preserve">del Code of Practice for Construction Work is required for any person who is to carry out construction work.  Achievement of </w:t>
      </w:r>
      <w:r w:rsidRPr="00616B97">
        <w:rPr>
          <w:rStyle w:val="Emphasis"/>
        </w:rPr>
        <w:t>CPCWHS1001 Prepare to work safely in the construction industry</w:t>
      </w:r>
      <w:r w:rsidRPr="00616B97">
        <w:t> meets this requirement.</w:t>
      </w:r>
    </w:p>
    <w:p w:rsidR="00000000" w:rsidRPr="00616B97" w:rsidP="00A723C7">
      <w:pPr>
        <w:pStyle w:val="BodyText"/>
      </w:pPr>
      <w:r w:rsidRPr="00616B97">
        <w:t>No licensing, legislative or certification r</w:t>
      </w:r>
      <w:r w:rsidRPr="00616B97">
        <w:t>equirements apply to this unit at the time of publication.</w:t>
      </w:r>
    </w:p>
    <w:p w:rsidR="00000000" w:rsidRPr="00616B97" w:rsidP="00616B97">
      <w:pPr>
        <w:pStyle w:val="Heading1"/>
      </w:pPr>
      <w:bookmarkStart w:id="3" w:name="O_1292830"/>
      <w:bookmarkEnd w:id="3"/>
      <w:r w:rsidRPr="00616B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0"/>
        <w:gridCol w:w="7422"/>
      </w:tblGrid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CPCCWHS200</w:t>
            </w:r>
            <w:r w:rsidRPr="00616B97">
              <w:t>1</w:t>
            </w:r>
          </w:p>
        </w:tc>
        <w:tc>
          <w:tcPr>
            <w:tcW w:w="7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 xml:space="preserve">Apply WHS requirements, policies and procedures in the construction </w:t>
            </w:r>
            <w:r w:rsidRPr="00616B97">
              <w:t>industry</w:t>
            </w:r>
          </w:p>
        </w:tc>
      </w:tr>
    </w:tbl>
    <w:p w:rsidR="00000000" w:rsidRPr="00616B97" w:rsidP="00616B97">
      <w:pPr>
        <w:pStyle w:val="BodyText"/>
      </w:pPr>
    </w:p>
    <w:p w:rsidR="00000000" w:rsidRPr="00616B97" w:rsidP="00616B97">
      <w:pPr>
        <w:pStyle w:val="AllowPageBreak"/>
      </w:pPr>
    </w:p>
    <w:p w:rsidR="00000000" w:rsidRPr="00616B97" w:rsidP="00616B97">
      <w:pPr>
        <w:pStyle w:val="Heading1"/>
      </w:pPr>
      <w:bookmarkStart w:id="4" w:name="O_1292829"/>
      <w:bookmarkEnd w:id="4"/>
      <w:r w:rsidRPr="00616B97">
        <w:t>Unit Sector</w:t>
      </w:r>
    </w:p>
    <w:p w:rsidR="00000000" w:rsidRPr="00616B97" w:rsidP="00A723C7">
      <w:pPr>
        <w:pStyle w:val="BodyText"/>
      </w:pPr>
      <w:r w:rsidRPr="00616B97">
        <w:t>Painting and Decorating</w:t>
      </w:r>
    </w:p>
    <w:p w:rsidR="00000000" w:rsidRPr="00616B97" w:rsidP="00616B97">
      <w:pPr>
        <w:pStyle w:val="Heading1"/>
      </w:pPr>
      <w:bookmarkStart w:id="5" w:name="O_1292828"/>
      <w:bookmarkEnd w:id="5"/>
      <w:r w:rsidRPr="00616B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Performance criteria describe what needs to be done to demonstrate achievement of the element.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Review work instructions to apply protective paint coating systems and select method of application consistent with the job location, type of paint, type and condition of surface and climatic conditions.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Plan all work to meet relevant requirements o</w:t>
            </w:r>
            <w:r w:rsidRPr="00616B97">
              <w:t>f work health and safety (WHS), Commonwealth and state or territory legislation, environmental plans and obligations, manufacturers’ specifications, and workplace requirements.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Select and fit p</w:t>
            </w:r>
            <w:r w:rsidRPr="00616B97">
              <w:t>ersonal protective equipment (PPE) as required for each task.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Inspect work site, assess hazards and apply risk controls, including required signage and barricades.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Identify materials appropriate to the work application, calculate quantities a</w:t>
            </w:r>
            <w:r w:rsidRPr="00616B97">
              <w:t>nd prepare, handle safely and locate ready for use.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Select tools and equipment, check for serviceability and rectify and report any faults.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Prepare work site and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Protect surrounding surfaces with drop sheets, masking or removal of objects.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Ensure ventilation is adequate and implement precautions to prevent fire and explosion.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Implement measures to ensure application area remains free of dust and foreign matter.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Determine suitability of surface for protective paint coating and select surface preparation method to meet substrate requirements.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Prepare surface, repair</w:t>
            </w:r>
            <w:r w:rsidRPr="00616B97">
              <w:t>, stop and fill imperfections, and sand to a smooth finish ready for the protective coating.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Prepare and mix protective coatings to manufacturers’ specifications.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Apply protective coating.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Apply and finish protective coating system to requirements.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Perform wet film thickness measurement on wet surface for quality assurance and rectify any issues.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Perform dry film thickness measurement on dry surface for quality assurance and rectify any issues.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Clean-up.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Clean-up in accordance with all legislative and workplace requirements for safety, waste disposal, materials handling and protection o</w:t>
            </w:r>
            <w:r w:rsidRPr="00616B97">
              <w:t>f the environment.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Identify hazardous material for separate handling by authorised personnel.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Clear work area, reuse or recycle materials and place waste and unwanted materials into job waste bins or rubbish stockpile.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Check and maintain tools and equipment and clean with appropriate solvents.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Dispose of paint waste and water and solvents used in cleaning tools and equipment in an environmentally sustainable manner.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Store tools and equipment, and seal and segregate unused materials to avoid spontaneous ignition.</w:t>
            </w:r>
          </w:p>
        </w:tc>
      </w:tr>
    </w:tbl>
    <w:p w:rsidR="00000000" w:rsidRPr="00616B97" w:rsidP="00616B97">
      <w:pPr>
        <w:pStyle w:val="BodyText"/>
      </w:pPr>
    </w:p>
    <w:p w:rsidR="00000000" w:rsidRPr="00616B97" w:rsidP="00616B97">
      <w:pPr>
        <w:pStyle w:val="AllowPageBreak"/>
      </w:pPr>
    </w:p>
    <w:p w:rsidR="00000000" w:rsidRPr="00616B97" w:rsidP="00616B97">
      <w:pPr>
        <w:pStyle w:val="Heading1"/>
      </w:pPr>
      <w:bookmarkStart w:id="6" w:name="O_1292827"/>
      <w:bookmarkEnd w:id="6"/>
      <w:r w:rsidRPr="00616B97">
        <w:t>Foundation Skills</w:t>
      </w:r>
    </w:p>
    <w:p w:rsidR="00000000" w:rsidRPr="00616B97" w:rsidP="00A723C7">
      <w:pPr>
        <w:pStyle w:val="BodyText"/>
      </w:pPr>
      <w:r w:rsidRPr="00616B97">
        <w:t xml:space="preserve">Foundation skills essential to performance are explicit in the performance criteria of this unit of competency. </w:t>
      </w:r>
    </w:p>
    <w:p w:rsidR="00000000" w:rsidRPr="00616B97" w:rsidP="00616B97">
      <w:pPr>
        <w:pStyle w:val="Heading1"/>
      </w:pPr>
      <w:bookmarkStart w:id="7" w:name="O_1292826"/>
      <w:bookmarkEnd w:id="7"/>
      <w:r w:rsidRPr="00616B97">
        <w:t>Unit Mapping Information</w:t>
      </w:r>
    </w:p>
    <w:p w:rsidR="00000000" w:rsidRPr="00616B97" w:rsidP="00A723C7">
      <w:pPr>
        <w:pStyle w:val="BodyText"/>
      </w:pPr>
      <w:r w:rsidRPr="00616B97">
        <w:t>Supersedes and equivalent to CPCCPD3030B Apply protective paint coating systems.</w:t>
      </w:r>
    </w:p>
    <w:p w:rsidR="00000000" w:rsidRPr="00616B97" w:rsidP="00616B97">
      <w:pPr>
        <w:pStyle w:val="Heading1"/>
      </w:pPr>
      <w:bookmarkStart w:id="8" w:name="O_1292833"/>
      <w:bookmarkEnd w:id="8"/>
      <w:r w:rsidRPr="00616B97">
        <w:t>Links</w:t>
      </w:r>
    </w:p>
    <w:p w:rsidR="00000000" w:rsidRPr="00616B97" w:rsidP="00A723C7">
      <w:pPr>
        <w:pStyle w:val="BodyText"/>
      </w:pPr>
      <w:r w:rsidRPr="00616B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20E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6B97" w:rsidP="00A723C7">
      <w:pPr>
        <w:pStyle w:val="BodyText"/>
        <w:sectPr w:rsidSect="00616B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6B97" w:rsidP="00616B97">
      <w:pPr>
        <w:pStyle w:val="SuperHeading"/>
      </w:pPr>
      <w:r w:rsidRPr="00616B97">
        <w:t>Assessment Requirements for CPCCPD3030 Appl</w:t>
      </w:r>
      <w:r w:rsidRPr="00616B97">
        <w:t>y protective paint coating systems</w:t>
      </w:r>
    </w:p>
    <w:p w:rsidR="00000000" w:rsidRPr="00616B97" w:rsidP="00616B97">
      <w:pPr>
        <w:pStyle w:val="Heading1"/>
      </w:pPr>
      <w:bookmarkStart w:id="9" w:name="O_1292824"/>
      <w:bookmarkEnd w:id="9"/>
      <w:r w:rsidRPr="00616B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Updated reference to general construction induction training program.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This version first released with CPC Construction, Plumbing and Services Training Package R</w:t>
            </w:r>
            <w:r w:rsidRPr="00616B97">
              <w:t>elease 6.5.</w:t>
            </w:r>
          </w:p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Change to Performance Evidence.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This version first released with CPC Construction, Plumbing and Services Training Package Release 6.4.</w:t>
            </w:r>
          </w:p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Correction to Training Package title in the Modification History from CPC Property Services to CPC</w:t>
            </w:r>
            <w:r w:rsidRPr="00616B97">
              <w:t xml:space="preserve"> Construction, Plumbing and Services Training Package.</w:t>
            </w:r>
          </w:p>
        </w:tc>
      </w:tr>
      <w:tr w:rsidTr="00616B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6B97">
            <w:pPr>
              <w:pStyle w:val="BodyText"/>
              <w:rPr>
                <w:lang w:val="en-NZ"/>
              </w:rPr>
            </w:pPr>
            <w:r w:rsidRPr="00616B9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6B97" w:rsidP="00616B97">
            <w:pPr>
              <w:pStyle w:val="BodyText"/>
            </w:pPr>
            <w:r w:rsidRPr="00616B97">
              <w:t>This version first released with CPC Property Services Training Package Release 5.0.</w:t>
            </w:r>
          </w:p>
          <w:p w:rsidR="00000000" w:rsidRPr="00616B97" w:rsidP="00616B97">
            <w:pPr>
              <w:pStyle w:val="BodyText"/>
            </w:pPr>
            <w:r w:rsidRPr="00616B97">
              <w:t xml:space="preserve">Supersedes and is equivalent to CPCCPD3030B Apply protective paint coating systems.  Updated to meet the </w:t>
            </w:r>
            <w:r w:rsidRPr="00616B97">
              <w:t>Standards for Training Packages 2012.</w:t>
            </w:r>
          </w:p>
        </w:tc>
      </w:tr>
    </w:tbl>
    <w:p w:rsidR="00000000" w:rsidRPr="00616B97" w:rsidP="00616B97">
      <w:pPr>
        <w:pStyle w:val="BodyText"/>
      </w:pPr>
    </w:p>
    <w:p w:rsidR="00000000" w:rsidRPr="00616B97" w:rsidP="00616B97">
      <w:pPr>
        <w:pStyle w:val="AllowPageBreak"/>
      </w:pPr>
    </w:p>
    <w:p w:rsidR="00000000" w:rsidRPr="00616B97" w:rsidP="00616B97">
      <w:pPr>
        <w:pStyle w:val="Heading1"/>
      </w:pPr>
      <w:bookmarkStart w:id="10" w:name="O_1292823"/>
      <w:bookmarkEnd w:id="10"/>
      <w:r w:rsidRPr="00616B97">
        <w:t>Performance Evidence</w:t>
      </w:r>
    </w:p>
    <w:p w:rsidR="00000000" w:rsidRPr="00616B97" w:rsidP="00A723C7">
      <w:pPr>
        <w:pStyle w:val="BodyText"/>
      </w:pPr>
      <w:r w:rsidRPr="00616B97">
        <w:t xml:space="preserve">To demonstrate competency, a candidate must meet the performance criteria of this unit by preparing and applying two different protective coatings, at least one </w:t>
      </w:r>
      <w:r w:rsidRPr="00616B97">
        <w:t>of which is a two-pack system:</w:t>
      </w:r>
    </w:p>
    <w:p w:rsidR="00000000" w:rsidRPr="00616B97" w:rsidP="00616B97">
      <w:pPr>
        <w:pStyle w:val="ListBullet"/>
      </w:pPr>
      <w:r w:rsidRPr="00616B97">
        <w:t>water-based protective paint coating systems to a concrete surface of at least one square metre</w:t>
      </w:r>
    </w:p>
    <w:p w:rsidR="00000000" w:rsidRPr="00616B97" w:rsidP="00616B97">
      <w:pPr>
        <w:pStyle w:val="ListBullet"/>
      </w:pPr>
      <w:r w:rsidRPr="00616B97">
        <w:t>solvent-based protective paint coating systems to a metal surface of at least one square metre.</w:t>
      </w:r>
    </w:p>
    <w:p w:rsidR="00000000" w:rsidRPr="00616B97" w:rsidP="00A723C7">
      <w:pPr>
        <w:pStyle w:val="BodyText"/>
      </w:pPr>
      <w:r w:rsidRPr="00616B97">
        <w:t>All work must be performed to th</w:t>
      </w:r>
      <w:r w:rsidRPr="00616B97">
        <w:t>e standard required in the workplace and must meet the requirements of work health and safety (WHS), Commonwealth and state or territory legislation, manufacturers’ specifications, and environmental plans and obligations.</w:t>
      </w:r>
    </w:p>
    <w:p w:rsidR="00000000" w:rsidRPr="00616B97" w:rsidP="00616B97">
      <w:pPr>
        <w:pStyle w:val="Heading1"/>
      </w:pPr>
      <w:bookmarkStart w:id="11" w:name="O_1292822"/>
      <w:bookmarkEnd w:id="11"/>
      <w:r w:rsidRPr="00616B97">
        <w:t>Knowledge Evide</w:t>
      </w:r>
      <w:r w:rsidRPr="00616B97">
        <w:t>nce</w:t>
      </w:r>
    </w:p>
    <w:p w:rsidR="00000000" w:rsidRPr="00616B97" w:rsidP="00A723C7">
      <w:pPr>
        <w:pStyle w:val="BodyText"/>
      </w:pPr>
      <w:r w:rsidRPr="00616B97">
        <w:t>To be competent in this unit, a candidate must demonstrate knowledge of:</w:t>
      </w:r>
    </w:p>
    <w:p w:rsidR="00000000" w:rsidRPr="00616B97" w:rsidP="00616B97">
      <w:pPr>
        <w:pStyle w:val="ListBullet"/>
      </w:pPr>
      <w:r w:rsidRPr="00616B97">
        <w:t>safety requirements relevant to applying protective paint coating systems</w:t>
      </w:r>
    </w:p>
    <w:p w:rsidR="00000000" w:rsidRPr="00616B97" w:rsidP="00616B97">
      <w:pPr>
        <w:pStyle w:val="ListBullet"/>
      </w:pPr>
      <w:r w:rsidRPr="00616B97">
        <w:t>environmental requirements relevant to applying protective paint coating systems</w:t>
      </w:r>
    </w:p>
    <w:p w:rsidR="00000000" w:rsidRPr="00616B97" w:rsidP="00616B97">
      <w:pPr>
        <w:pStyle w:val="ListBullet"/>
      </w:pPr>
      <w:r w:rsidRPr="00616B97">
        <w:t>Australian Paint Approv</w:t>
      </w:r>
      <w:r w:rsidRPr="00616B97">
        <w:t>al Scheme (APAS) classifications</w:t>
      </w:r>
    </w:p>
    <w:p w:rsidR="00000000" w:rsidRPr="00616B97" w:rsidP="00616B97">
      <w:pPr>
        <w:pStyle w:val="ListBullet"/>
      </w:pPr>
      <w:r w:rsidRPr="00616B97">
        <w:t>hazards associated with solvent vapour, chemical fumes, gases, harmful dusts, metal chips, abrasive grit and asbestos fibres</w:t>
      </w:r>
    </w:p>
    <w:p w:rsidR="00000000" w:rsidRPr="00616B97" w:rsidP="00616B97">
      <w:pPr>
        <w:pStyle w:val="ListBullet"/>
      </w:pPr>
      <w:r w:rsidRPr="00616B97">
        <w:t>impact of atmospheric conditions and high traffic on new and existing structures and coatings</w:t>
      </w:r>
    </w:p>
    <w:p w:rsidR="00000000" w:rsidRPr="00616B97" w:rsidP="00616B97">
      <w:pPr>
        <w:pStyle w:val="ListBullet"/>
      </w:pPr>
      <w:r w:rsidRPr="00616B97">
        <w:t>plans, drawings and specifications relevant to applying protective paint coating systems</w:t>
      </w:r>
    </w:p>
    <w:p w:rsidR="00000000" w:rsidRPr="00616B97" w:rsidP="00616B97">
      <w:pPr>
        <w:pStyle w:val="ListBullet"/>
      </w:pPr>
      <w:r w:rsidRPr="00616B97">
        <w:t>processes for the calculation of material requirements relevant to applying protective paint coating systems</w:t>
      </w:r>
    </w:p>
    <w:p w:rsidR="00000000" w:rsidRPr="00616B97" w:rsidP="00616B97">
      <w:pPr>
        <w:pStyle w:val="ListBullet"/>
      </w:pPr>
      <w:r w:rsidRPr="00616B97">
        <w:t>surface preparation methods and tools relevant to applying</w:t>
      </w:r>
      <w:r w:rsidRPr="00616B97">
        <w:t xml:space="preserve"> protective paint coating systems</w:t>
      </w:r>
    </w:p>
    <w:p w:rsidR="00000000" w:rsidRPr="00616B97" w:rsidP="00616B97">
      <w:pPr>
        <w:pStyle w:val="ListBullet"/>
      </w:pPr>
      <w:r w:rsidRPr="00616B97">
        <w:t>protective surface coating products and their uses and limitations:</w:t>
      </w:r>
    </w:p>
    <w:p w:rsidR="00000000" w:rsidRPr="00616B97" w:rsidP="00616B97">
      <w:pPr>
        <w:pStyle w:val="ListBullet2"/>
      </w:pPr>
      <w:r w:rsidRPr="00616B97">
        <w:t>polyurethane primer (two pack)</w:t>
      </w:r>
    </w:p>
    <w:p w:rsidR="00000000" w:rsidRPr="00616B97" w:rsidP="00616B97">
      <w:pPr>
        <w:pStyle w:val="ListBullet2"/>
      </w:pPr>
      <w:r w:rsidRPr="00616B97">
        <w:t>epoxy primer (two pack)</w:t>
      </w:r>
    </w:p>
    <w:p w:rsidR="00000000" w:rsidRPr="00616B97" w:rsidP="00616B97">
      <w:pPr>
        <w:pStyle w:val="ListBullet2"/>
      </w:pPr>
      <w:r w:rsidRPr="00616B97">
        <w:t>high build epoxy</w:t>
      </w:r>
    </w:p>
    <w:p w:rsidR="00000000" w:rsidRPr="00616B97" w:rsidP="00616B97">
      <w:pPr>
        <w:pStyle w:val="ListBullet2"/>
      </w:pPr>
      <w:r w:rsidRPr="00616B97">
        <w:t>high build chlorinated rubber</w:t>
      </w:r>
    </w:p>
    <w:p w:rsidR="00000000" w:rsidRPr="00616B97" w:rsidP="00616B97">
      <w:pPr>
        <w:pStyle w:val="ListBullet2"/>
      </w:pPr>
      <w:r w:rsidRPr="00616B97">
        <w:t xml:space="preserve">2-pak polyurethane </w:t>
      </w:r>
    </w:p>
    <w:p w:rsidR="00000000" w:rsidRPr="00616B97" w:rsidP="00616B97">
      <w:pPr>
        <w:pStyle w:val="ListBullet2"/>
      </w:pPr>
      <w:r w:rsidRPr="00616B97">
        <w:t>2-pak surface tolerant epoxy</w:t>
      </w:r>
    </w:p>
    <w:p w:rsidR="00000000" w:rsidRPr="00616B97" w:rsidP="00616B97">
      <w:pPr>
        <w:pStyle w:val="ListBullet2"/>
      </w:pPr>
      <w:r>
        <w:t>•</w:t>
      </w:r>
      <w:r>
        <w:tab/>
      </w:r>
      <w:r w:rsidRPr="00616B97">
        <w:t>m</w:t>
      </w:r>
      <w:r w:rsidRPr="00616B97">
        <w:t>icaceous iron oxide</w:t>
      </w:r>
    </w:p>
    <w:p w:rsidR="00000000" w:rsidRPr="00616B97" w:rsidP="00616B97">
      <w:pPr>
        <w:pStyle w:val="ListBullet2"/>
      </w:pPr>
      <w:r>
        <w:t>•</w:t>
      </w:r>
      <w:r>
        <w:tab/>
      </w:r>
      <w:r w:rsidRPr="00616B97">
        <w:t xml:space="preserve">zinc phosphate primer </w:t>
      </w:r>
    </w:p>
    <w:p w:rsidR="00000000" w:rsidRPr="00616B97" w:rsidP="00616B97">
      <w:pPr>
        <w:pStyle w:val="ListBullet2"/>
      </w:pPr>
      <w:r w:rsidRPr="00616B97">
        <w:t>modified acrylic epoxies</w:t>
      </w:r>
    </w:p>
    <w:p w:rsidR="00000000" w:rsidRPr="00616B97" w:rsidP="00616B97">
      <w:pPr>
        <w:pStyle w:val="ListBullet"/>
      </w:pPr>
      <w:r w:rsidRPr="00616B97">
        <w:t>applications of protective paint coating systems, including:</w:t>
      </w:r>
    </w:p>
    <w:p w:rsidR="00000000" w:rsidRPr="00616B97" w:rsidP="00616B97">
      <w:pPr>
        <w:pStyle w:val="ListBullet2"/>
      </w:pPr>
      <w:r w:rsidRPr="00616B97">
        <w:t>corrosion control</w:t>
      </w:r>
    </w:p>
    <w:p w:rsidR="00000000" w:rsidRPr="00616B97" w:rsidP="00616B97">
      <w:pPr>
        <w:pStyle w:val="ListBullet2"/>
      </w:pPr>
      <w:r w:rsidRPr="00616B97">
        <w:t>decoration</w:t>
      </w:r>
    </w:p>
    <w:p w:rsidR="00000000" w:rsidRPr="00616B97" w:rsidP="00616B97">
      <w:pPr>
        <w:pStyle w:val="ListBullet2"/>
      </w:pPr>
      <w:r w:rsidRPr="00616B97">
        <w:t>hygiene and sanitation protection</w:t>
      </w:r>
    </w:p>
    <w:p w:rsidR="00000000" w:rsidRPr="00616B97" w:rsidP="00616B97">
      <w:pPr>
        <w:pStyle w:val="ListBullet2"/>
      </w:pPr>
      <w:r w:rsidRPr="00616B97">
        <w:t>trafficable areas</w:t>
      </w:r>
    </w:p>
    <w:p w:rsidR="00000000" w:rsidRPr="00616B97" w:rsidP="00616B97">
      <w:pPr>
        <w:pStyle w:val="ListBullet"/>
      </w:pPr>
      <w:r w:rsidRPr="00616B97">
        <w:t>dry and wet testing techniques</w:t>
      </w:r>
    </w:p>
    <w:p w:rsidR="00000000" w:rsidRPr="00616B97" w:rsidP="00616B97">
      <w:pPr>
        <w:pStyle w:val="ListBullet"/>
      </w:pPr>
      <w:r w:rsidRPr="00616B97">
        <w:t>types of commonly used protective paint coatings, their uses and limitations</w:t>
      </w:r>
    </w:p>
    <w:p w:rsidR="00000000" w:rsidRPr="00616B97" w:rsidP="00616B97">
      <w:pPr>
        <w:pStyle w:val="ListBullet"/>
      </w:pPr>
      <w:r w:rsidRPr="00616B97">
        <w:t>quality requirements relevant to applying protective paint coating systems</w:t>
      </w:r>
    </w:p>
    <w:p w:rsidR="00000000" w:rsidRPr="00616B97" w:rsidP="00616B97">
      <w:pPr>
        <w:pStyle w:val="ListBullet"/>
      </w:pPr>
      <w:r w:rsidRPr="00616B97">
        <w:t>materials storage and environmentally sustainable waste management, including correct disposal of water-</w:t>
      </w:r>
      <w:r w:rsidRPr="00616B97">
        <w:t>based, latex-based and solvent-based paints</w:t>
      </w:r>
    </w:p>
    <w:p w:rsidR="00000000" w:rsidRPr="00616B97" w:rsidP="00616B97">
      <w:pPr>
        <w:pStyle w:val="ListBullet"/>
      </w:pPr>
      <w:r w:rsidRPr="00616B97">
        <w:t>solid waste and paint sludge disposal techniques and relevant legislation, including Environmental Protection Authority (EPA) and local council regulations</w:t>
      </w:r>
    </w:p>
    <w:p w:rsidR="00000000" w:rsidRPr="00616B97" w:rsidP="00616B97">
      <w:pPr>
        <w:pStyle w:val="ListBullet"/>
      </w:pPr>
      <w:r w:rsidRPr="00616B97">
        <w:t>workplace and equipment safety requirements.</w:t>
      </w:r>
    </w:p>
    <w:p w:rsidR="00000000" w:rsidRPr="00616B97" w:rsidP="00616B97">
      <w:pPr>
        <w:pStyle w:val="AllowPageBreak"/>
      </w:pPr>
    </w:p>
    <w:p w:rsidR="00000000" w:rsidRPr="00616B97" w:rsidP="00616B97">
      <w:pPr>
        <w:pStyle w:val="Heading1"/>
      </w:pPr>
      <w:bookmarkStart w:id="12" w:name="O_1292821"/>
      <w:bookmarkEnd w:id="12"/>
      <w:r w:rsidRPr="00616B97">
        <w:t>Assessment Conditions</w:t>
      </w:r>
    </w:p>
    <w:p w:rsidR="00000000" w:rsidRPr="00616B97" w:rsidP="00A723C7">
      <w:pPr>
        <w:pStyle w:val="BodyText"/>
      </w:pPr>
      <w:r w:rsidRPr="00616B97">
        <w:t xml:space="preserve">Assessors must meet the requirements for assessors contained in the Standards for Registered Training Organisations. </w:t>
      </w:r>
    </w:p>
    <w:p w:rsidR="00000000" w:rsidRPr="00616B97" w:rsidP="00A723C7">
      <w:pPr>
        <w:pStyle w:val="BodyText"/>
      </w:pPr>
      <w:r w:rsidRPr="00616B97">
        <w:t xml:space="preserve">This unit must be assessed: </w:t>
      </w:r>
    </w:p>
    <w:p w:rsidR="00000000" w:rsidRPr="00616B97" w:rsidP="00616B97">
      <w:pPr>
        <w:pStyle w:val="ListBullet"/>
      </w:pPr>
      <w:r w:rsidRPr="00616B97">
        <w:t>in the workplace or a close simulation of the workplace environment, provided</w:t>
      </w:r>
      <w:r w:rsidRPr="00616B97">
        <w:t xml:space="preserve"> that simulated or project-based assessment techniques replicate construction workplace conditions, materials, activities, responsibilities and procedures</w:t>
      </w:r>
    </w:p>
    <w:p w:rsidR="00000000" w:rsidRPr="00616B97" w:rsidP="00616B97">
      <w:pPr>
        <w:pStyle w:val="ListBullet"/>
      </w:pPr>
      <w:r w:rsidRPr="00616B97">
        <w:t>using realistic tasks or simulated tasks, relevant specifications and work instructions, standard wor</w:t>
      </w:r>
      <w:r w:rsidRPr="00616B97">
        <w:t>k practices, safety requirements and environmental constraints.</w:t>
      </w:r>
    </w:p>
    <w:p w:rsidR="00000000" w:rsidRPr="00616B97" w:rsidP="00616B97">
      <w:pPr>
        <w:pStyle w:val="AllowPageBreak"/>
      </w:pPr>
    </w:p>
    <w:p w:rsidR="00000000" w:rsidRPr="00616B97" w:rsidP="00616B97">
      <w:pPr>
        <w:pStyle w:val="Heading1"/>
      </w:pPr>
      <w:bookmarkStart w:id="13" w:name="O_1292834"/>
      <w:bookmarkEnd w:id="13"/>
      <w:r w:rsidRPr="00616B97">
        <w:t>Links</w:t>
      </w:r>
    </w:p>
    <w:p w:rsidR="00000000" w:rsidRPr="00616B97" w:rsidP="00A723C7">
      <w:pPr>
        <w:pStyle w:val="BodyText"/>
      </w:pPr>
      <w:r w:rsidRPr="00616B9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20EF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16B97" w:rsidP="00616B97"/>
    <w:sectPr w:rsidSect="00616B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 w:rsidRPr="00A723C7" w:rsidP="00A723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C7" w:rsidP="00616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23C7" w:rsidP="00616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723C7" w:rsidP="00616B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 w:rsidP="00616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723C7">
      <w:t>Approved</w:t>
    </w:r>
    <w:r w:rsidR="00A723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723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723C7">
      <w:rPr>
        <w:noProof/>
      </w:rPr>
      <w:t>4</w:t>
    </w:r>
    <w:r>
      <w:rPr>
        <w:noProof/>
      </w:rPr>
      <w:fldChar w:fldCharType="end"/>
    </w:r>
  </w:p>
  <w:p w:rsidR="00616B97" w:rsidP="00616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723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723C7">
      <w:t>BuildSkills Australia</w:t>
    </w:r>
    <w:r w:rsidR="00A723C7">
      <w:fldChar w:fldCharType="end"/>
    </w:r>
  </w:p>
  <w:p w:rsidR="00616B97" w:rsidP="00616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B97" w:rsidRPr="00A723C7" w:rsidP="00A723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3C7" w:rsidRPr="002D2AF8" w:rsidP="00616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CPCCPD3030 Apply protective paint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723C7" w:rsidP="00616B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B97" w:rsidRPr="002D2AF8" w:rsidP="00616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723C7">
      <w:t>CPCCPD3030 Apply protective paint coating systems</w:t>
    </w:r>
    <w:r w:rsidR="00A723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723C7">
      <w:rPr>
        <w:noProof/>
      </w:rPr>
      <w:t>2 March 2025</w:t>
    </w:r>
    <w:r>
      <w:fldChar w:fldCharType="end"/>
    </w:r>
  </w:p>
  <w:p w:rsidR="00616B97" w:rsidP="00616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46B3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6690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50A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B97"/>
  </w:style>
  <w:style w:type="character" w:customStyle="1" w:styleId="Heading1Char">
    <w:name w:val="Heading 1 Char"/>
    <w:basedOn w:val="DefaultParagraphFont"/>
    <w:link w:val="Heading1"/>
    <w:rsid w:val="00616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B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B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6B97"/>
    <w:rPr>
      <w:i/>
    </w:rPr>
  </w:style>
  <w:style w:type="paragraph" w:customStyle="1" w:styleId="SuperHeading">
    <w:name w:val="SuperHeading"/>
    <w:basedOn w:val="Normal"/>
    <w:rsid w:val="00616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B97"/>
    <w:rPr>
      <w:b/>
      <w:spacing w:val="0"/>
    </w:rPr>
  </w:style>
  <w:style w:type="paragraph" w:customStyle="1" w:styleId="SuperTitle">
    <w:name w:val="SuperTitle"/>
    <w:basedOn w:val="Title"/>
    <w:rsid w:val="00616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B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B97"/>
  </w:style>
  <w:style w:type="paragraph" w:styleId="TableofFigures">
    <w:name w:val="table of figures"/>
    <w:basedOn w:val="Normal"/>
    <w:next w:val="Normal"/>
    <w:semiHidden/>
    <w:rsid w:val="00616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B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B97"/>
    <w:rPr>
      <w:rFonts w:ascii="Wingdings" w:hAnsi="Wingdings"/>
    </w:rPr>
  </w:style>
  <w:style w:type="paragraph" w:customStyle="1" w:styleId="TableHeading">
    <w:name w:val="Table Heading"/>
    <w:basedOn w:val="HeadingBase"/>
    <w:rsid w:val="00616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B97"/>
    <w:rPr>
      <w:color w:val="0033CC"/>
      <w:u w:val="none"/>
    </w:rPr>
  </w:style>
  <w:style w:type="paragraph" w:customStyle="1" w:styleId="BodyTextRight">
    <w:name w:val="Body Text Right"/>
    <w:basedOn w:val="BodyText"/>
    <w:rsid w:val="00616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B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B97"/>
    <w:rPr>
      <w:sz w:val="32"/>
    </w:rPr>
  </w:style>
  <w:style w:type="paragraph" w:customStyle="1" w:styleId="HeadingProcedure">
    <w:name w:val="Heading Procedure"/>
    <w:basedOn w:val="HeadingBase"/>
    <w:next w:val="Normal"/>
    <w:rsid w:val="00616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B97"/>
    <w:pPr>
      <w:spacing w:before="60" w:after="60"/>
    </w:pPr>
  </w:style>
  <w:style w:type="paragraph" w:styleId="ListContinue">
    <w:name w:val="List Continue"/>
    <w:basedOn w:val="List"/>
    <w:rsid w:val="00616B97"/>
    <w:pPr>
      <w:ind w:firstLine="0"/>
    </w:pPr>
  </w:style>
  <w:style w:type="paragraph" w:customStyle="1" w:styleId="ListNote">
    <w:name w:val="List Note"/>
    <w:basedOn w:val="List"/>
    <w:rsid w:val="00616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B97"/>
    <w:rPr>
      <w:rFonts w:ascii="Courier New" w:hAnsi="Courier New"/>
    </w:rPr>
  </w:style>
  <w:style w:type="paragraph" w:customStyle="1" w:styleId="NoteBullet">
    <w:name w:val="Note Bullet"/>
    <w:basedOn w:val="Note"/>
    <w:rsid w:val="00616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B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B97"/>
    <w:rPr>
      <w:b/>
      <w:smallCaps/>
    </w:rPr>
  </w:style>
  <w:style w:type="paragraph" w:customStyle="1" w:styleId="TableListNumber">
    <w:name w:val="Table List Number"/>
    <w:basedOn w:val="ListNumber"/>
    <w:rsid w:val="00616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B97"/>
    <w:pPr>
      <w:numPr>
        <w:numId w:val="9"/>
      </w:numPr>
    </w:pPr>
  </w:style>
  <w:style w:type="paragraph" w:customStyle="1" w:styleId="ListAlpha2">
    <w:name w:val="List Alpha 2"/>
    <w:basedOn w:val="List2"/>
    <w:rsid w:val="00616B97"/>
    <w:pPr>
      <w:numPr>
        <w:numId w:val="8"/>
      </w:numPr>
    </w:pPr>
  </w:style>
  <w:style w:type="paragraph" w:styleId="List2">
    <w:name w:val="List 2"/>
    <w:basedOn w:val="BodyText"/>
    <w:rsid w:val="00616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B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B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B97"/>
    <w:pPr>
      <w:numPr>
        <w:numId w:val="4"/>
      </w:numPr>
    </w:pPr>
  </w:style>
  <w:style w:type="paragraph" w:styleId="ListContinue2">
    <w:name w:val="List Continue 2"/>
    <w:basedOn w:val="List2"/>
    <w:rsid w:val="00616B97"/>
    <w:pPr>
      <w:ind w:firstLine="0"/>
    </w:pPr>
  </w:style>
  <w:style w:type="paragraph" w:styleId="ListContinue3">
    <w:name w:val="List Continue 3"/>
    <w:basedOn w:val="List3"/>
    <w:rsid w:val="00616B97"/>
    <w:pPr>
      <w:ind w:left="1021" w:firstLine="0"/>
    </w:pPr>
  </w:style>
  <w:style w:type="paragraph" w:styleId="ListContinue4">
    <w:name w:val="List Continue 4"/>
    <w:basedOn w:val="List4"/>
    <w:rsid w:val="00616B97"/>
    <w:pPr>
      <w:ind w:firstLine="0"/>
    </w:pPr>
  </w:style>
  <w:style w:type="paragraph" w:styleId="ListContinue5">
    <w:name w:val="List Continue 5"/>
    <w:basedOn w:val="List5"/>
    <w:rsid w:val="00616B97"/>
    <w:pPr>
      <w:ind w:firstLine="0"/>
    </w:pPr>
  </w:style>
  <w:style w:type="paragraph" w:styleId="ListNumber3">
    <w:name w:val="List Number 3"/>
    <w:basedOn w:val="List3"/>
    <w:rsid w:val="00616B97"/>
    <w:pPr>
      <w:numPr>
        <w:numId w:val="5"/>
      </w:numPr>
    </w:pPr>
  </w:style>
  <w:style w:type="paragraph" w:styleId="ListNumber4">
    <w:name w:val="List Number 4"/>
    <w:basedOn w:val="List4"/>
    <w:rsid w:val="00616B97"/>
    <w:pPr>
      <w:numPr>
        <w:numId w:val="6"/>
      </w:numPr>
    </w:pPr>
  </w:style>
  <w:style w:type="paragraph" w:styleId="ListNumber5">
    <w:name w:val="List Number 5"/>
    <w:basedOn w:val="List5"/>
    <w:rsid w:val="00616B97"/>
    <w:pPr>
      <w:numPr>
        <w:numId w:val="7"/>
      </w:numPr>
    </w:pPr>
  </w:style>
  <w:style w:type="paragraph" w:styleId="BlockText">
    <w:name w:val="Block Text"/>
    <w:basedOn w:val="Normal"/>
    <w:rsid w:val="00616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B97"/>
    <w:rPr>
      <w:sz w:val="16"/>
      <w:vertAlign w:val="superscript"/>
    </w:rPr>
  </w:style>
  <w:style w:type="character" w:customStyle="1" w:styleId="Symbols">
    <w:name w:val="Symbols"/>
    <w:basedOn w:val="DefaultParagraphFont"/>
    <w:rsid w:val="00616B97"/>
    <w:rPr>
      <w:rFonts w:ascii="Symbol" w:hAnsi="Symbol"/>
    </w:rPr>
  </w:style>
  <w:style w:type="character" w:customStyle="1" w:styleId="MenuOptions">
    <w:name w:val="Menu Options"/>
    <w:basedOn w:val="DefaultParagraphFont"/>
    <w:rsid w:val="00616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B97"/>
    <w:rPr>
      <w:b/>
    </w:rPr>
  </w:style>
  <w:style w:type="character" w:customStyle="1" w:styleId="Underlined">
    <w:name w:val="Underlined"/>
    <w:basedOn w:val="DefaultParagraphFont"/>
    <w:rsid w:val="00616B97"/>
    <w:rPr>
      <w:u w:val="single"/>
    </w:rPr>
  </w:style>
  <w:style w:type="paragraph" w:customStyle="1" w:styleId="TableBodyTextRight">
    <w:name w:val="Table Body Text Right"/>
    <w:basedOn w:val="TableBodyText"/>
    <w:rsid w:val="00616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B97"/>
    <w:rPr>
      <w:sz w:val="18"/>
    </w:rPr>
  </w:style>
  <w:style w:type="paragraph" w:customStyle="1" w:styleId="BodySmallRight">
    <w:name w:val="Body Small Right"/>
    <w:basedOn w:val="BodyTextRight"/>
    <w:rsid w:val="00616B97"/>
    <w:rPr>
      <w:sz w:val="18"/>
      <w:szCs w:val="18"/>
    </w:rPr>
  </w:style>
  <w:style w:type="paragraph" w:customStyle="1" w:styleId="MarginEdition">
    <w:name w:val="Margin Edition"/>
    <w:basedOn w:val="MarginNote"/>
    <w:rsid w:val="00616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B97"/>
    <w:rPr>
      <w:sz w:val="2"/>
      <w:szCs w:val="2"/>
    </w:rPr>
  </w:style>
  <w:style w:type="character" w:customStyle="1" w:styleId="Small">
    <w:name w:val="Small"/>
    <w:basedOn w:val="DefaultParagraphFont"/>
    <w:rsid w:val="00616B97"/>
    <w:rPr>
      <w:sz w:val="16"/>
    </w:rPr>
  </w:style>
  <w:style w:type="paragraph" w:customStyle="1" w:styleId="WideTable">
    <w:name w:val="Wide Table"/>
    <w:basedOn w:val="Normal"/>
    <w:rsid w:val="00616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B97"/>
  </w:style>
  <w:style w:type="paragraph" w:styleId="Quote">
    <w:name w:val="Quote"/>
    <w:basedOn w:val="Heading1"/>
    <w:link w:val="QuoteChar"/>
    <w:qFormat/>
    <w:rsid w:val="00616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B97"/>
    <w:pPr>
      <w:pageBreakBefore/>
    </w:pPr>
  </w:style>
  <w:style w:type="paragraph" w:customStyle="1" w:styleId="Border">
    <w:name w:val="Border"/>
    <w:basedOn w:val="Normal"/>
    <w:qFormat/>
    <w:rsid w:val="00616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B97"/>
    <w:rPr>
      <w:u w:val="single"/>
    </w:rPr>
  </w:style>
  <w:style w:type="character" w:customStyle="1" w:styleId="BoldandItalics">
    <w:name w:val="Bold and Italics"/>
    <w:qFormat/>
    <w:rsid w:val="00616B97"/>
    <w:rPr>
      <w:b/>
      <w:i/>
      <w:u w:val="none"/>
    </w:rPr>
  </w:style>
  <w:style w:type="paragraph" w:styleId="BalloonText">
    <w:name w:val="Balloon Text"/>
    <w:basedOn w:val="Normal"/>
    <w:link w:val="BalloonTextChar"/>
    <w:rsid w:val="00616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B97"/>
    <w:pPr>
      <w:spacing w:before="0" w:after="0"/>
    </w:pPr>
  </w:style>
  <w:style w:type="paragraph" w:customStyle="1" w:styleId="BodyTextBold">
    <w:name w:val="Body Text Bold"/>
    <w:basedOn w:val="BodyText"/>
    <w:qFormat/>
    <w:rsid w:val="00616B97"/>
    <w:rPr>
      <w:b/>
    </w:rPr>
  </w:style>
  <w:style w:type="character" w:styleId="Hyperlink">
    <w:name w:val="Hyperlink"/>
    <w:basedOn w:val="DefaultParagraphFont"/>
    <w:uiPriority w:val="99"/>
    <w:unhideWhenUsed/>
    <w:rsid w:val="00A723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1270</Words>
  <Characters>8097</Characters>
  <Application>Microsoft Office Word</Application>
  <DocSecurity>0</DocSecurity>
  <Lines>289</Lines>
  <Paragraphs>167</Paragraphs>
  <ScaleCrop>false</ScaleCrop>
  <Company>Author-it Software Corporation Ltd.</Company>
  <LinksUpToDate>false</LinksUpToDate>
  <CharactersWithSpaces>9200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CPCCPD3030 Apply protective paint coating systems</dc:title>
  <dc:subject>Approved</dc:subject>
  <dc:creator>BuildSkills Australia</dc:creator>
  <cp:keywords>Release: 4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