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A88" w:rsidP="00006A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CPCCPD3030 Apply protective paint coating systems</w:t>
      </w:r>
      <w:r>
        <w:fldChar w:fldCharType="end"/>
      </w:r>
    </w:p>
    <w:p w:rsidR="00006A88" w:rsidP="00006A88">
      <w:pPr>
        <w:pStyle w:val="Version"/>
        <w:sectPr w:rsidSect="004E38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4E381E" w:rsidP="004E381E">
      <w:pPr>
        <w:pStyle w:val="SuperHeading"/>
      </w:pPr>
      <w:r w:rsidRPr="004E381E">
        <w:t>Assessment Requirements for CPCCPD3030 Apply protective paint coating systems</w:t>
      </w:r>
    </w:p>
    <w:p w:rsidR="00000000" w:rsidRPr="004E381E" w:rsidP="004E381E">
      <w:pPr>
        <w:pStyle w:val="Heading1"/>
      </w:pPr>
      <w:bookmarkStart w:id="1" w:name="O_1292824"/>
      <w:bookmarkEnd w:id="1"/>
      <w:r w:rsidRPr="004E38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E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1E">
            <w:pPr>
              <w:pStyle w:val="BodyText"/>
              <w:rPr>
                <w:lang w:val="en-NZ"/>
              </w:rPr>
            </w:pPr>
            <w:r w:rsidRPr="004E381E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1E">
            <w:pPr>
              <w:pStyle w:val="BodyText"/>
              <w:rPr>
                <w:lang w:val="en-NZ"/>
              </w:rPr>
            </w:pPr>
            <w:r w:rsidRPr="004E381E">
              <w:t>Updated reference to general construction induction training program.</w:t>
            </w:r>
          </w:p>
        </w:tc>
      </w:tr>
      <w:tr w:rsidTr="004E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1E">
            <w:pPr>
              <w:pStyle w:val="BodyText"/>
              <w:rPr>
                <w:lang w:val="en-NZ"/>
              </w:rPr>
            </w:pPr>
            <w:r w:rsidRPr="004E381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1E" w:rsidP="004E381E">
            <w:pPr>
              <w:pStyle w:val="BodyText"/>
            </w:pPr>
            <w:r w:rsidRPr="004E381E">
              <w:t>This version first released with CPC Construction, Plumbing and Services Training Package Release 6.5.</w:t>
            </w:r>
          </w:p>
          <w:p w:rsidR="00000000" w:rsidP="004E381E">
            <w:pPr>
              <w:pStyle w:val="BodyText"/>
              <w:rPr>
                <w:lang w:val="en-NZ"/>
              </w:rPr>
            </w:pPr>
            <w:r w:rsidRPr="004E381E">
              <w:t>Change to Performance Evidence.</w:t>
            </w:r>
          </w:p>
        </w:tc>
      </w:tr>
      <w:tr w:rsidTr="004E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1E">
            <w:pPr>
              <w:pStyle w:val="BodyText"/>
              <w:rPr>
                <w:lang w:val="en-NZ"/>
              </w:rPr>
            </w:pPr>
            <w:r w:rsidRPr="004E381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1E" w:rsidP="004E381E">
            <w:pPr>
              <w:pStyle w:val="BodyText"/>
            </w:pPr>
            <w:r w:rsidRPr="004E381E">
              <w:t>This version first released with CPC Construction, Plumbing and Services Training Package Release 6.4.</w:t>
            </w:r>
          </w:p>
          <w:p w:rsidR="00000000" w:rsidP="004E381E">
            <w:pPr>
              <w:pStyle w:val="BodyText"/>
              <w:rPr>
                <w:lang w:val="en-NZ"/>
              </w:rPr>
            </w:pPr>
            <w:r w:rsidRPr="004E381E">
              <w:t>Correct</w:t>
            </w:r>
            <w:r w:rsidRPr="004E381E">
              <w:t>ion to Training Package title in the Modification History from CPC Property Services to CPC Construction, Plumbing and Services Training Package.</w:t>
            </w:r>
          </w:p>
        </w:tc>
      </w:tr>
      <w:tr w:rsidTr="004E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1E">
            <w:pPr>
              <w:pStyle w:val="BodyText"/>
              <w:rPr>
                <w:lang w:val="en-NZ"/>
              </w:rPr>
            </w:pPr>
            <w:r w:rsidRPr="004E381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1E" w:rsidP="004E381E">
            <w:pPr>
              <w:pStyle w:val="BodyText"/>
            </w:pPr>
            <w:r w:rsidRPr="004E381E">
              <w:t>This version first released with CPC Property Services Training Package Release 5.0.</w:t>
            </w:r>
          </w:p>
          <w:p w:rsidR="00000000" w:rsidRPr="004E381E" w:rsidP="004E381E">
            <w:pPr>
              <w:pStyle w:val="BodyText"/>
            </w:pPr>
            <w:r w:rsidRPr="004E381E">
              <w:t>Supersedes and</w:t>
            </w:r>
            <w:r w:rsidRPr="004E381E">
              <w:t xml:space="preserve"> is equivalent to CPCCPD3030B Apply protective paint coating systems.  Updated to meet the Standards for Training Packages 2012.</w:t>
            </w:r>
          </w:p>
        </w:tc>
      </w:tr>
    </w:tbl>
    <w:p w:rsidR="00000000" w:rsidRPr="004E381E" w:rsidP="004E381E">
      <w:pPr>
        <w:pStyle w:val="BodyText"/>
      </w:pPr>
    </w:p>
    <w:p w:rsidR="00000000" w:rsidRPr="004E381E" w:rsidP="004E381E">
      <w:pPr>
        <w:pStyle w:val="AllowPageBreak"/>
      </w:pPr>
    </w:p>
    <w:p w:rsidR="00000000" w:rsidRPr="004E381E" w:rsidP="004E381E">
      <w:pPr>
        <w:pStyle w:val="Heading1"/>
      </w:pPr>
      <w:bookmarkStart w:id="2" w:name="O_1292823"/>
      <w:bookmarkEnd w:id="2"/>
      <w:r w:rsidRPr="004E381E">
        <w:t>Performance Evidence</w:t>
      </w:r>
    </w:p>
    <w:p w:rsidR="00000000" w:rsidRPr="004E381E" w:rsidP="00006A88">
      <w:pPr>
        <w:pStyle w:val="BodyText"/>
      </w:pPr>
      <w:r w:rsidRPr="004E381E">
        <w:t>To demonstrate competency, a candidate must meet the performance criteria of this uni</w:t>
      </w:r>
      <w:r w:rsidRPr="004E381E">
        <w:t>t by preparing and applying two different protective coatings, at least one of which is a two-pack system:</w:t>
      </w:r>
    </w:p>
    <w:p w:rsidR="00000000" w:rsidRPr="004E381E" w:rsidP="004E381E">
      <w:pPr>
        <w:pStyle w:val="ListBullet"/>
      </w:pPr>
      <w:r w:rsidRPr="004E381E">
        <w:t>water-based protective paint coating systems to a concrete surface of at least one square metre</w:t>
      </w:r>
    </w:p>
    <w:p w:rsidR="00000000" w:rsidRPr="004E381E" w:rsidP="004E381E">
      <w:pPr>
        <w:pStyle w:val="ListBullet"/>
      </w:pPr>
      <w:r w:rsidRPr="004E381E">
        <w:t>solvent-based protective paint coating systems to a metal surface of at least one square metre.</w:t>
      </w:r>
    </w:p>
    <w:p w:rsidR="00000000" w:rsidRPr="004E381E" w:rsidP="00006A88">
      <w:pPr>
        <w:pStyle w:val="BodyText"/>
      </w:pPr>
      <w:r w:rsidRPr="004E381E">
        <w:t>All work must be performed to the standard required in the workplace and must meet the requirements of work health and safety (WHS), Commonwealth and state or t</w:t>
      </w:r>
      <w:r w:rsidRPr="004E381E">
        <w:t>erritory legislation, manufacturers’ specifications, and environmental plans and obligations.</w:t>
      </w:r>
    </w:p>
    <w:p w:rsidR="00000000" w:rsidRPr="004E381E" w:rsidP="004E381E">
      <w:pPr>
        <w:pStyle w:val="Heading1"/>
      </w:pPr>
      <w:bookmarkStart w:id="3" w:name="O_1292822"/>
      <w:bookmarkEnd w:id="3"/>
      <w:r w:rsidRPr="004E381E">
        <w:t>Knowledge Evidence</w:t>
      </w:r>
    </w:p>
    <w:p w:rsidR="00000000" w:rsidRPr="004E381E" w:rsidP="00006A88">
      <w:pPr>
        <w:pStyle w:val="BodyText"/>
      </w:pPr>
      <w:r w:rsidRPr="004E381E">
        <w:t>To be competent in this unit, a candidate must demonstrate knowledge of:</w:t>
      </w:r>
    </w:p>
    <w:p w:rsidR="00000000" w:rsidRPr="004E381E" w:rsidP="004E381E">
      <w:pPr>
        <w:pStyle w:val="ListBullet"/>
      </w:pPr>
      <w:r w:rsidRPr="004E381E">
        <w:t>safety requirements relevant to applying protectiv</w:t>
      </w:r>
      <w:r w:rsidRPr="004E381E">
        <w:t>e paint coating systems</w:t>
      </w:r>
    </w:p>
    <w:p w:rsidR="00000000" w:rsidRPr="004E381E" w:rsidP="004E381E">
      <w:pPr>
        <w:pStyle w:val="ListBullet"/>
      </w:pPr>
      <w:r w:rsidRPr="004E381E">
        <w:t>environmental requirements relevant to applying protective paint coating systems</w:t>
      </w:r>
    </w:p>
    <w:p w:rsidR="00000000" w:rsidRPr="004E381E" w:rsidP="004E381E">
      <w:pPr>
        <w:pStyle w:val="ListBullet"/>
      </w:pPr>
      <w:r w:rsidRPr="004E381E">
        <w:t>Australian Paint Approval Scheme (APAS) classifications</w:t>
      </w:r>
    </w:p>
    <w:p w:rsidR="00000000" w:rsidRPr="004E381E" w:rsidP="004E381E">
      <w:pPr>
        <w:pStyle w:val="ListBullet"/>
      </w:pPr>
      <w:r w:rsidRPr="004E381E">
        <w:t>hazards associated with solvent vapour, chemical fumes, gases, harmful dusts, metal chips, abra</w:t>
      </w:r>
      <w:r w:rsidRPr="004E381E">
        <w:t>sive grit and asbestos fibres</w:t>
      </w:r>
    </w:p>
    <w:p w:rsidR="00000000" w:rsidRPr="004E381E" w:rsidP="004E381E">
      <w:pPr>
        <w:pStyle w:val="ListBullet"/>
      </w:pPr>
      <w:r w:rsidRPr="004E381E">
        <w:t>impact of atmospheric conditions and high traffic on new and existing structures and coatings</w:t>
      </w:r>
    </w:p>
    <w:p w:rsidR="00000000" w:rsidRPr="004E381E" w:rsidP="004E381E">
      <w:pPr>
        <w:pStyle w:val="ListBullet"/>
      </w:pPr>
      <w:r w:rsidRPr="004E381E">
        <w:t>plans, drawings and specifications relevant to applying protective paint coating systems</w:t>
      </w:r>
    </w:p>
    <w:p w:rsidR="00000000" w:rsidRPr="004E381E" w:rsidP="004E381E">
      <w:pPr>
        <w:pStyle w:val="ListBullet"/>
      </w:pPr>
      <w:r w:rsidRPr="004E381E">
        <w:t>processes for the calculation of material r</w:t>
      </w:r>
      <w:r w:rsidRPr="004E381E">
        <w:t>equirements relevant to applying protective paint coating systems</w:t>
      </w:r>
    </w:p>
    <w:p w:rsidR="00000000" w:rsidRPr="004E381E" w:rsidP="004E381E">
      <w:pPr>
        <w:pStyle w:val="ListBullet"/>
      </w:pPr>
      <w:r w:rsidRPr="004E381E">
        <w:t>surface preparation methods and tools relevant to applying protective paint coating systems</w:t>
      </w:r>
    </w:p>
    <w:p w:rsidR="00000000" w:rsidRPr="004E381E" w:rsidP="004E381E">
      <w:pPr>
        <w:pStyle w:val="ListBullet"/>
      </w:pPr>
      <w:r w:rsidRPr="004E381E">
        <w:t>protective surface coating products and their uses and limitations:</w:t>
      </w:r>
    </w:p>
    <w:p w:rsidR="00000000" w:rsidRPr="004E381E" w:rsidP="004E381E">
      <w:pPr>
        <w:pStyle w:val="ListBullet2"/>
      </w:pPr>
      <w:r w:rsidRPr="004E381E">
        <w:t>polyurethane primer (two pack</w:t>
      </w:r>
      <w:r w:rsidRPr="004E381E">
        <w:t>)</w:t>
      </w:r>
    </w:p>
    <w:p w:rsidR="00000000" w:rsidRPr="004E381E" w:rsidP="004E381E">
      <w:pPr>
        <w:pStyle w:val="ListBullet2"/>
      </w:pPr>
      <w:r w:rsidRPr="004E381E">
        <w:t>epoxy primer (two pack)</w:t>
      </w:r>
    </w:p>
    <w:p w:rsidR="00000000" w:rsidRPr="004E381E" w:rsidP="004E381E">
      <w:pPr>
        <w:pStyle w:val="ListBullet2"/>
      </w:pPr>
      <w:r w:rsidRPr="004E381E">
        <w:t>high build epoxy</w:t>
      </w:r>
    </w:p>
    <w:p w:rsidR="00000000" w:rsidRPr="004E381E" w:rsidP="004E381E">
      <w:pPr>
        <w:pStyle w:val="ListBullet2"/>
      </w:pPr>
      <w:r w:rsidRPr="004E381E">
        <w:t>high build chlorinated rubber</w:t>
      </w:r>
    </w:p>
    <w:p w:rsidR="00000000" w:rsidRPr="004E381E" w:rsidP="004E381E">
      <w:pPr>
        <w:pStyle w:val="ListBullet2"/>
      </w:pPr>
      <w:r w:rsidRPr="004E381E">
        <w:t xml:space="preserve">2-pak polyurethane </w:t>
      </w:r>
    </w:p>
    <w:p w:rsidR="00000000" w:rsidRPr="004E381E" w:rsidP="004E381E">
      <w:pPr>
        <w:pStyle w:val="ListBullet2"/>
      </w:pPr>
      <w:r w:rsidRPr="004E381E">
        <w:t>2-pak surface tolerant epoxy</w:t>
      </w:r>
    </w:p>
    <w:p w:rsidR="00000000" w:rsidRPr="004E381E" w:rsidP="004E381E">
      <w:pPr>
        <w:pStyle w:val="ListBullet2"/>
      </w:pPr>
      <w:r>
        <w:t>•</w:t>
      </w:r>
      <w:r>
        <w:tab/>
      </w:r>
      <w:r w:rsidRPr="004E381E">
        <w:t>micaceous iron oxide</w:t>
      </w:r>
    </w:p>
    <w:p w:rsidR="00000000" w:rsidRPr="004E381E" w:rsidP="004E381E">
      <w:pPr>
        <w:pStyle w:val="ListBullet2"/>
      </w:pPr>
      <w:r>
        <w:t>•</w:t>
      </w:r>
      <w:r>
        <w:tab/>
      </w:r>
      <w:r w:rsidRPr="004E381E">
        <w:t xml:space="preserve">zinc phosphate primer </w:t>
      </w:r>
    </w:p>
    <w:p w:rsidR="00000000" w:rsidRPr="004E381E" w:rsidP="004E381E">
      <w:pPr>
        <w:pStyle w:val="ListBullet2"/>
      </w:pPr>
      <w:r w:rsidRPr="004E381E">
        <w:t>modified acrylic epoxies</w:t>
      </w:r>
    </w:p>
    <w:p w:rsidR="00000000" w:rsidRPr="004E381E" w:rsidP="004E381E">
      <w:pPr>
        <w:pStyle w:val="ListBullet"/>
      </w:pPr>
      <w:r w:rsidRPr="004E381E">
        <w:t>applications of protective paint coating systems, including:</w:t>
      </w:r>
    </w:p>
    <w:p w:rsidR="00000000" w:rsidRPr="004E381E" w:rsidP="004E381E">
      <w:pPr>
        <w:pStyle w:val="ListBullet2"/>
      </w:pPr>
      <w:r w:rsidRPr="004E381E">
        <w:t>corrosion control</w:t>
      </w:r>
    </w:p>
    <w:p w:rsidR="00000000" w:rsidRPr="004E381E" w:rsidP="004E381E">
      <w:pPr>
        <w:pStyle w:val="ListBullet2"/>
      </w:pPr>
      <w:r w:rsidRPr="004E381E">
        <w:t>decoration</w:t>
      </w:r>
    </w:p>
    <w:p w:rsidR="00000000" w:rsidRPr="004E381E" w:rsidP="004E381E">
      <w:pPr>
        <w:pStyle w:val="ListBullet2"/>
      </w:pPr>
      <w:r w:rsidRPr="004E381E">
        <w:t>hygiene and sanitation protection</w:t>
      </w:r>
    </w:p>
    <w:p w:rsidR="00000000" w:rsidRPr="004E381E" w:rsidP="004E381E">
      <w:pPr>
        <w:pStyle w:val="ListBullet2"/>
      </w:pPr>
      <w:r w:rsidRPr="004E381E">
        <w:t>trafficable areas</w:t>
      </w:r>
    </w:p>
    <w:p w:rsidR="00000000" w:rsidRPr="004E381E" w:rsidP="004E381E">
      <w:pPr>
        <w:pStyle w:val="ListBullet"/>
      </w:pPr>
      <w:r w:rsidRPr="004E381E">
        <w:t>dry and wet testing techniques</w:t>
      </w:r>
    </w:p>
    <w:p w:rsidR="00000000" w:rsidRPr="004E381E" w:rsidP="004E381E">
      <w:pPr>
        <w:pStyle w:val="ListBullet"/>
      </w:pPr>
      <w:r w:rsidRPr="004E381E">
        <w:t>types of commonly used protective paint coatings, their uses and limitations</w:t>
      </w:r>
    </w:p>
    <w:p w:rsidR="00000000" w:rsidRPr="004E381E" w:rsidP="004E381E">
      <w:pPr>
        <w:pStyle w:val="ListBullet"/>
      </w:pPr>
      <w:r w:rsidRPr="004E381E">
        <w:t>quality requirements relevant to applying protective p</w:t>
      </w:r>
      <w:r w:rsidRPr="004E381E">
        <w:t>aint coating systems</w:t>
      </w:r>
    </w:p>
    <w:p w:rsidR="00000000" w:rsidRPr="004E381E" w:rsidP="004E381E">
      <w:pPr>
        <w:pStyle w:val="ListBullet"/>
      </w:pPr>
      <w:r w:rsidRPr="004E381E">
        <w:t>materials storage and environmentally sustainable waste management, including correct disposal of water-based, latex-based and solvent-based paints</w:t>
      </w:r>
    </w:p>
    <w:p w:rsidR="00000000" w:rsidRPr="004E381E" w:rsidP="004E381E">
      <w:pPr>
        <w:pStyle w:val="ListBullet"/>
      </w:pPr>
      <w:r w:rsidRPr="004E381E">
        <w:t>solid waste and paint sludge disposal techniques and relevant legislation, including En</w:t>
      </w:r>
      <w:r w:rsidRPr="004E381E">
        <w:t>vironmental Protection Authority (EPA) and local council regulations</w:t>
      </w:r>
    </w:p>
    <w:p w:rsidR="00000000" w:rsidRPr="004E381E" w:rsidP="004E381E">
      <w:pPr>
        <w:pStyle w:val="ListBullet"/>
      </w:pPr>
      <w:r w:rsidRPr="004E381E">
        <w:t>workplace and equipment safety requirements.</w:t>
      </w:r>
    </w:p>
    <w:p w:rsidR="00000000" w:rsidRPr="004E381E" w:rsidP="004E381E">
      <w:pPr>
        <w:pStyle w:val="AllowPageBreak"/>
      </w:pPr>
    </w:p>
    <w:p w:rsidR="00000000" w:rsidRPr="004E381E" w:rsidP="004E381E">
      <w:pPr>
        <w:pStyle w:val="Heading1"/>
      </w:pPr>
      <w:bookmarkStart w:id="4" w:name="O_1292821"/>
      <w:bookmarkEnd w:id="4"/>
      <w:r w:rsidRPr="004E381E">
        <w:t>Assessment Conditions</w:t>
      </w:r>
    </w:p>
    <w:p w:rsidR="00000000" w:rsidRPr="004E381E" w:rsidP="00006A88">
      <w:pPr>
        <w:pStyle w:val="BodyText"/>
      </w:pPr>
      <w:r w:rsidRPr="004E381E">
        <w:t>Assessors must meet the requirements for assessors contained in the Standards for Registered Training</w:t>
      </w:r>
      <w:r w:rsidRPr="004E381E">
        <w:t xml:space="preserve"> Organisations. </w:t>
      </w:r>
    </w:p>
    <w:p w:rsidR="00000000" w:rsidRPr="004E381E" w:rsidP="00006A88">
      <w:pPr>
        <w:pStyle w:val="BodyText"/>
      </w:pPr>
      <w:r w:rsidRPr="004E381E">
        <w:t xml:space="preserve">This unit must be assessed: </w:t>
      </w:r>
    </w:p>
    <w:p w:rsidR="00000000" w:rsidRPr="004E381E" w:rsidP="004E381E">
      <w:pPr>
        <w:pStyle w:val="ListBullet"/>
      </w:pPr>
      <w:r w:rsidRPr="004E381E">
        <w:t>in the workplace or a close simulation of the workplace environment, provided that simulated or project-based assessment techniques replicate construction workplace conditions, materials, activities, responsib</w:t>
      </w:r>
      <w:r w:rsidRPr="004E381E">
        <w:t>ilities and procedures</w:t>
      </w:r>
    </w:p>
    <w:p w:rsidR="00000000" w:rsidRPr="004E381E" w:rsidP="004E381E">
      <w:pPr>
        <w:pStyle w:val="ListBullet"/>
      </w:pPr>
      <w:r w:rsidRPr="004E381E">
        <w:t>using realistic tasks or simulated tasks, relevant specifications and work instructions, standard work practices, safety requirements and environmental constraints.</w:t>
      </w:r>
    </w:p>
    <w:p w:rsidR="00000000" w:rsidRPr="004E381E" w:rsidP="004E381E">
      <w:pPr>
        <w:pStyle w:val="AllowPageBreak"/>
      </w:pPr>
    </w:p>
    <w:p w:rsidR="00000000" w:rsidRPr="004E381E" w:rsidP="004E381E">
      <w:pPr>
        <w:pStyle w:val="Heading1"/>
      </w:pPr>
      <w:bookmarkStart w:id="5" w:name="O_1292834"/>
      <w:bookmarkEnd w:id="5"/>
      <w:r w:rsidRPr="004E381E">
        <w:t>Links</w:t>
      </w:r>
    </w:p>
    <w:p w:rsidR="00000000" w:rsidRPr="004E381E" w:rsidP="00006A88">
      <w:pPr>
        <w:pStyle w:val="BodyText"/>
      </w:pPr>
      <w:r w:rsidRPr="004E381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C617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E381E" w:rsidP="004E381E"/>
    <w:sectPr w:rsidSect="004E38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1E" w:rsidRPr="00006A88" w:rsidP="00006A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88" w:rsidP="004E38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A88" w:rsidP="004E38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06A88" w:rsidP="004E38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81E" w:rsidRPr="00006A88" w:rsidP="00006A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88" w:rsidRPr="002D2AF8" w:rsidP="004E38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CPCCPD3030 Apply protective paint coating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06A88" w:rsidP="004E38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44B1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EAD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7052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8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8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8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8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8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8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8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8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8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8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8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81E"/>
  </w:style>
  <w:style w:type="character" w:customStyle="1" w:styleId="Heading1Char">
    <w:name w:val="Heading 1 Char"/>
    <w:basedOn w:val="DefaultParagraphFont"/>
    <w:link w:val="Heading1"/>
    <w:rsid w:val="004E38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8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8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38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38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38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8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38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8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8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8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8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8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8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8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8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8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8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8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8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8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8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38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381E"/>
    <w:rPr>
      <w:b/>
      <w:spacing w:val="0"/>
    </w:rPr>
  </w:style>
  <w:style w:type="paragraph" w:customStyle="1" w:styleId="SuperTitle">
    <w:name w:val="SuperTitle"/>
    <w:basedOn w:val="Title"/>
    <w:rsid w:val="004E38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8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8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38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8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8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8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8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8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8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8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8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81E"/>
    <w:rPr>
      <w:i/>
    </w:rPr>
  </w:style>
  <w:style w:type="paragraph" w:styleId="Caption">
    <w:name w:val="caption"/>
    <w:basedOn w:val="BodyText"/>
    <w:next w:val="Normal"/>
    <w:qFormat/>
    <w:rsid w:val="004E38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8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8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81E"/>
  </w:style>
  <w:style w:type="paragraph" w:styleId="TableofFigures">
    <w:name w:val="table of figures"/>
    <w:basedOn w:val="Normal"/>
    <w:next w:val="Normal"/>
    <w:semiHidden/>
    <w:rsid w:val="004E38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8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381E"/>
    <w:rPr>
      <w:rFonts w:ascii="Wingdings" w:hAnsi="Wingdings"/>
    </w:rPr>
  </w:style>
  <w:style w:type="paragraph" w:customStyle="1" w:styleId="TableHeading">
    <w:name w:val="Table Heading"/>
    <w:basedOn w:val="HeadingBase"/>
    <w:rsid w:val="004E38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81E"/>
    <w:rPr>
      <w:color w:val="0033CC"/>
      <w:u w:val="none"/>
    </w:rPr>
  </w:style>
  <w:style w:type="paragraph" w:customStyle="1" w:styleId="BodyTextRight">
    <w:name w:val="Body Text Right"/>
    <w:basedOn w:val="BodyText"/>
    <w:rsid w:val="004E38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8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8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8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8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8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81E"/>
    <w:rPr>
      <w:sz w:val="32"/>
    </w:rPr>
  </w:style>
  <w:style w:type="paragraph" w:customStyle="1" w:styleId="HeadingProcedure">
    <w:name w:val="Heading Procedure"/>
    <w:basedOn w:val="HeadingBase"/>
    <w:next w:val="Normal"/>
    <w:rsid w:val="004E38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81E"/>
    <w:pPr>
      <w:spacing w:before="60" w:after="60"/>
    </w:pPr>
  </w:style>
  <w:style w:type="paragraph" w:styleId="ListContinue">
    <w:name w:val="List Continue"/>
    <w:basedOn w:val="List"/>
    <w:rsid w:val="004E381E"/>
    <w:pPr>
      <w:ind w:firstLine="0"/>
    </w:pPr>
  </w:style>
  <w:style w:type="paragraph" w:customStyle="1" w:styleId="ListNote">
    <w:name w:val="List Note"/>
    <w:basedOn w:val="List"/>
    <w:rsid w:val="004E38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8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8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81E"/>
    <w:rPr>
      <w:rFonts w:ascii="Courier New" w:hAnsi="Courier New"/>
    </w:rPr>
  </w:style>
  <w:style w:type="paragraph" w:customStyle="1" w:styleId="NoteBullet">
    <w:name w:val="Note Bullet"/>
    <w:basedOn w:val="Note"/>
    <w:rsid w:val="004E38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8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8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8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8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38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8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81E"/>
    <w:rPr>
      <w:b/>
      <w:smallCaps/>
    </w:rPr>
  </w:style>
  <w:style w:type="paragraph" w:customStyle="1" w:styleId="TableListNumber">
    <w:name w:val="Table List Number"/>
    <w:basedOn w:val="ListNumber"/>
    <w:rsid w:val="004E38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8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81E"/>
    <w:pPr>
      <w:numPr>
        <w:numId w:val="9"/>
      </w:numPr>
    </w:pPr>
  </w:style>
  <w:style w:type="paragraph" w:customStyle="1" w:styleId="ListAlpha2">
    <w:name w:val="List Alpha 2"/>
    <w:basedOn w:val="List2"/>
    <w:rsid w:val="004E381E"/>
    <w:pPr>
      <w:numPr>
        <w:numId w:val="8"/>
      </w:numPr>
    </w:pPr>
  </w:style>
  <w:style w:type="paragraph" w:styleId="List2">
    <w:name w:val="List 2"/>
    <w:basedOn w:val="BodyText"/>
    <w:rsid w:val="004E38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8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8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8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8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8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381E"/>
    <w:pPr>
      <w:numPr>
        <w:numId w:val="4"/>
      </w:numPr>
    </w:pPr>
  </w:style>
  <w:style w:type="paragraph" w:styleId="ListContinue2">
    <w:name w:val="List Continue 2"/>
    <w:basedOn w:val="List2"/>
    <w:rsid w:val="004E381E"/>
    <w:pPr>
      <w:ind w:firstLine="0"/>
    </w:pPr>
  </w:style>
  <w:style w:type="paragraph" w:styleId="ListContinue3">
    <w:name w:val="List Continue 3"/>
    <w:basedOn w:val="List3"/>
    <w:rsid w:val="004E381E"/>
    <w:pPr>
      <w:ind w:left="1021" w:firstLine="0"/>
    </w:pPr>
  </w:style>
  <w:style w:type="paragraph" w:styleId="ListContinue4">
    <w:name w:val="List Continue 4"/>
    <w:basedOn w:val="List4"/>
    <w:rsid w:val="004E381E"/>
    <w:pPr>
      <w:ind w:firstLine="0"/>
    </w:pPr>
  </w:style>
  <w:style w:type="paragraph" w:styleId="ListContinue5">
    <w:name w:val="List Continue 5"/>
    <w:basedOn w:val="List5"/>
    <w:rsid w:val="004E381E"/>
    <w:pPr>
      <w:ind w:firstLine="0"/>
    </w:pPr>
  </w:style>
  <w:style w:type="paragraph" w:styleId="ListNumber3">
    <w:name w:val="List Number 3"/>
    <w:basedOn w:val="List3"/>
    <w:rsid w:val="004E381E"/>
    <w:pPr>
      <w:numPr>
        <w:numId w:val="5"/>
      </w:numPr>
    </w:pPr>
  </w:style>
  <w:style w:type="paragraph" w:styleId="ListNumber4">
    <w:name w:val="List Number 4"/>
    <w:basedOn w:val="List4"/>
    <w:rsid w:val="004E381E"/>
    <w:pPr>
      <w:numPr>
        <w:numId w:val="6"/>
      </w:numPr>
    </w:pPr>
  </w:style>
  <w:style w:type="paragraph" w:styleId="ListNumber5">
    <w:name w:val="List Number 5"/>
    <w:basedOn w:val="List5"/>
    <w:rsid w:val="004E381E"/>
    <w:pPr>
      <w:numPr>
        <w:numId w:val="7"/>
      </w:numPr>
    </w:pPr>
  </w:style>
  <w:style w:type="paragraph" w:styleId="BlockText">
    <w:name w:val="Block Text"/>
    <w:basedOn w:val="Normal"/>
    <w:rsid w:val="004E38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8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81E"/>
    <w:rPr>
      <w:sz w:val="16"/>
      <w:vertAlign w:val="superscript"/>
    </w:rPr>
  </w:style>
  <w:style w:type="character" w:customStyle="1" w:styleId="Symbols">
    <w:name w:val="Symbols"/>
    <w:basedOn w:val="DefaultParagraphFont"/>
    <w:rsid w:val="004E381E"/>
    <w:rPr>
      <w:rFonts w:ascii="Symbol" w:hAnsi="Symbol"/>
    </w:rPr>
  </w:style>
  <w:style w:type="character" w:customStyle="1" w:styleId="MenuOptions">
    <w:name w:val="Menu Options"/>
    <w:basedOn w:val="DefaultParagraphFont"/>
    <w:rsid w:val="004E38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81E"/>
    <w:rPr>
      <w:b/>
    </w:rPr>
  </w:style>
  <w:style w:type="character" w:customStyle="1" w:styleId="Underlined">
    <w:name w:val="Underlined"/>
    <w:basedOn w:val="DefaultParagraphFont"/>
    <w:rsid w:val="004E381E"/>
    <w:rPr>
      <w:u w:val="single"/>
    </w:rPr>
  </w:style>
  <w:style w:type="paragraph" w:customStyle="1" w:styleId="TableBodyTextRight">
    <w:name w:val="Table Body Text Right"/>
    <w:basedOn w:val="TableBodyText"/>
    <w:rsid w:val="004E38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81E"/>
    <w:rPr>
      <w:sz w:val="18"/>
    </w:rPr>
  </w:style>
  <w:style w:type="paragraph" w:customStyle="1" w:styleId="BodySmallRight">
    <w:name w:val="Body Small Right"/>
    <w:basedOn w:val="BodyTextRight"/>
    <w:rsid w:val="004E381E"/>
    <w:rPr>
      <w:sz w:val="18"/>
      <w:szCs w:val="18"/>
    </w:rPr>
  </w:style>
  <w:style w:type="paragraph" w:customStyle="1" w:styleId="MarginEdition">
    <w:name w:val="Margin Edition"/>
    <w:basedOn w:val="MarginNote"/>
    <w:rsid w:val="004E38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81E"/>
    <w:rPr>
      <w:sz w:val="2"/>
      <w:szCs w:val="2"/>
    </w:rPr>
  </w:style>
  <w:style w:type="character" w:customStyle="1" w:styleId="Small">
    <w:name w:val="Small"/>
    <w:basedOn w:val="DefaultParagraphFont"/>
    <w:rsid w:val="004E381E"/>
    <w:rPr>
      <w:sz w:val="16"/>
    </w:rPr>
  </w:style>
  <w:style w:type="paragraph" w:customStyle="1" w:styleId="WideTable">
    <w:name w:val="Wide Table"/>
    <w:basedOn w:val="Normal"/>
    <w:rsid w:val="004E38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81E"/>
  </w:style>
  <w:style w:type="paragraph" w:styleId="Quote">
    <w:name w:val="Quote"/>
    <w:basedOn w:val="Heading1"/>
    <w:link w:val="QuoteChar"/>
    <w:qFormat/>
    <w:rsid w:val="004E38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8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81E"/>
    <w:pPr>
      <w:pageBreakBefore/>
    </w:pPr>
  </w:style>
  <w:style w:type="paragraph" w:customStyle="1" w:styleId="Border">
    <w:name w:val="Border"/>
    <w:basedOn w:val="Normal"/>
    <w:qFormat/>
    <w:rsid w:val="004E38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8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8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8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8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8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8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8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8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81E"/>
    <w:rPr>
      <w:u w:val="single"/>
    </w:rPr>
  </w:style>
  <w:style w:type="character" w:customStyle="1" w:styleId="BoldandItalics">
    <w:name w:val="Bold and Italics"/>
    <w:qFormat/>
    <w:rsid w:val="004E381E"/>
    <w:rPr>
      <w:b/>
      <w:i/>
      <w:u w:val="none"/>
    </w:rPr>
  </w:style>
  <w:style w:type="paragraph" w:styleId="BalloonText">
    <w:name w:val="Balloon Text"/>
    <w:basedOn w:val="Normal"/>
    <w:link w:val="BalloonTextChar"/>
    <w:rsid w:val="004E3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8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8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8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8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8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81E"/>
    <w:pPr>
      <w:spacing w:before="0" w:after="0"/>
    </w:pPr>
  </w:style>
  <w:style w:type="paragraph" w:customStyle="1" w:styleId="BodyTextBold">
    <w:name w:val="Body Text Bold"/>
    <w:basedOn w:val="BodyText"/>
    <w:qFormat/>
    <w:rsid w:val="004E381E"/>
    <w:rPr>
      <w:b/>
    </w:rPr>
  </w:style>
  <w:style w:type="character" w:styleId="Hyperlink">
    <w:name w:val="Hyperlink"/>
    <w:basedOn w:val="DefaultParagraphFont"/>
    <w:uiPriority w:val="99"/>
    <w:unhideWhenUsed/>
    <w:rsid w:val="00006A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3721</Characters>
  <Application>Microsoft Office Word</Application>
  <DocSecurity>0</DocSecurity>
  <Lines>95</Lines>
  <Paragraphs>68</Paragraphs>
  <ScaleCrop>false</ScaleCrop>
  <Company>Author-it Software Corporation Ltd.</Company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CPCCPD3030 Apply protective paint coating systems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