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3A27" w:rsidP="000F3A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CPCCPD3028 Apply decorative paint finishes</w:t>
      </w:r>
      <w:r>
        <w:fldChar w:fldCharType="end"/>
      </w:r>
    </w:p>
    <w:p w:rsidR="000F3A27" w:rsidP="000F3A27">
      <w:pPr>
        <w:pStyle w:val="Version"/>
        <w:sectPr w:rsidSect="005364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53643B" w:rsidP="0053643B">
      <w:pPr>
        <w:pStyle w:val="SuperHeading"/>
      </w:pPr>
      <w:r w:rsidRPr="0053643B">
        <w:t>CPCCPD3028 Apply decorative paint finishes</w:t>
      </w:r>
    </w:p>
    <w:p w:rsidR="00000000" w:rsidRPr="0053643B" w:rsidP="0053643B">
      <w:pPr>
        <w:pStyle w:val="Heading1"/>
      </w:pPr>
      <w:bookmarkStart w:id="1" w:name="O_1292864"/>
      <w:bookmarkEnd w:id="1"/>
      <w:r w:rsidRPr="005364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36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Updated reference to general construction induction training program.</w:t>
            </w:r>
          </w:p>
        </w:tc>
      </w:tr>
      <w:tr w:rsidTr="00536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43B" w:rsidP="0053643B">
            <w:pPr>
              <w:pStyle w:val="BodyText"/>
            </w:pPr>
            <w:r w:rsidRPr="0053643B">
              <w:t>This version first released with CPC Construction, Plumbing and Services Training Package Release 6.4.</w:t>
            </w:r>
          </w:p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Correction to Training Package title in t</w:t>
            </w:r>
            <w:r w:rsidRPr="0053643B">
              <w:t>he Modification History from CPC Property Services to CPC Construction, Plumbing and Services Training Package.</w:t>
            </w:r>
          </w:p>
        </w:tc>
      </w:tr>
      <w:tr w:rsidTr="00536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43B" w:rsidP="0053643B">
            <w:pPr>
              <w:pStyle w:val="BodyText"/>
            </w:pPr>
            <w:r w:rsidRPr="0053643B">
              <w:t>This version first released with CPC Property Services Training Package Release 5.0.</w:t>
            </w:r>
          </w:p>
          <w:p w:rsidR="00000000" w:rsidRPr="0053643B" w:rsidP="0053643B">
            <w:pPr>
              <w:pStyle w:val="BodyText"/>
            </w:pPr>
            <w:r w:rsidRPr="0053643B">
              <w:t>Supersedes and is equivalent to CPCCPD3028A Appl</w:t>
            </w:r>
            <w:r w:rsidRPr="0053643B">
              <w:t>y decorative paint finishes.  Updated to meet the Standards for Training Packages 2012.</w:t>
            </w:r>
          </w:p>
        </w:tc>
      </w:tr>
    </w:tbl>
    <w:p w:rsidR="00000000" w:rsidRPr="0053643B" w:rsidP="0053643B">
      <w:pPr>
        <w:pStyle w:val="BodyText"/>
      </w:pPr>
    </w:p>
    <w:p w:rsidR="00000000" w:rsidRPr="0053643B" w:rsidP="0053643B">
      <w:pPr>
        <w:pStyle w:val="AllowPageBreak"/>
      </w:pPr>
    </w:p>
    <w:p w:rsidR="00000000" w:rsidRPr="0053643B" w:rsidP="0053643B">
      <w:pPr>
        <w:pStyle w:val="Heading1"/>
      </w:pPr>
      <w:bookmarkStart w:id="2" w:name="O_1292863"/>
      <w:bookmarkEnd w:id="2"/>
      <w:r w:rsidRPr="0053643B">
        <w:t>Application</w:t>
      </w:r>
    </w:p>
    <w:p w:rsidR="00000000" w:rsidRPr="0053643B" w:rsidP="000F3A27">
      <w:pPr>
        <w:pStyle w:val="BodyText"/>
      </w:pPr>
      <w:r w:rsidRPr="0053643B">
        <w:t>This unit of competency specifies the skills and knowledge required to apply decorative paint finishes to a range of different material</w:t>
      </w:r>
      <w:r w:rsidRPr="0053643B">
        <w:t xml:space="preserve"> surfaces.  </w:t>
      </w:r>
    </w:p>
    <w:p w:rsidR="00000000" w:rsidRPr="0053643B" w:rsidP="000F3A27">
      <w:pPr>
        <w:pStyle w:val="BodyText"/>
      </w:pPr>
      <w:r w:rsidRPr="0053643B">
        <w:t>The unit includes:</w:t>
      </w:r>
    </w:p>
    <w:p w:rsidR="00000000" w:rsidRPr="0053643B" w:rsidP="0053643B">
      <w:pPr>
        <w:pStyle w:val="ListBullet"/>
      </w:pPr>
      <w:r w:rsidRPr="0053643B">
        <w:t>preparation of the application area</w:t>
      </w:r>
    </w:p>
    <w:p w:rsidR="00000000" w:rsidRPr="0053643B" w:rsidP="0053643B">
      <w:pPr>
        <w:pStyle w:val="ListBullet"/>
      </w:pPr>
      <w:r w:rsidRPr="0053643B">
        <w:t>application of:</w:t>
      </w:r>
    </w:p>
    <w:p w:rsidR="00000000" w:rsidRPr="0053643B" w:rsidP="0053643B">
      <w:pPr>
        <w:pStyle w:val="ListBullet2"/>
      </w:pPr>
      <w:r w:rsidRPr="0053643B">
        <w:t>mirror paint finishes</w:t>
      </w:r>
    </w:p>
    <w:p w:rsidR="00000000" w:rsidRPr="0053643B" w:rsidP="0053643B">
      <w:pPr>
        <w:pStyle w:val="ListBullet2"/>
      </w:pPr>
      <w:r w:rsidRPr="0053643B">
        <w:t>broken colour effects</w:t>
      </w:r>
    </w:p>
    <w:p w:rsidR="00000000" w:rsidRPr="0053643B" w:rsidP="0053643B">
      <w:pPr>
        <w:pStyle w:val="ListBullet2"/>
      </w:pPr>
      <w:r w:rsidRPr="0053643B">
        <w:t>modern acrylic finishes</w:t>
      </w:r>
    </w:p>
    <w:p w:rsidR="00000000" w:rsidRPr="0053643B" w:rsidP="0053643B">
      <w:pPr>
        <w:pStyle w:val="ListBullet2"/>
      </w:pPr>
      <w:r w:rsidRPr="0053643B">
        <w:t>lining by brush</w:t>
      </w:r>
    </w:p>
    <w:p w:rsidR="00000000" w:rsidRPr="0053643B" w:rsidP="0053643B">
      <w:pPr>
        <w:pStyle w:val="ListBullet2"/>
      </w:pPr>
      <w:r w:rsidRPr="0053643B">
        <w:t xml:space="preserve">basic stencilling </w:t>
      </w:r>
    </w:p>
    <w:p w:rsidR="00000000" w:rsidRPr="0053643B" w:rsidP="0053643B">
      <w:pPr>
        <w:pStyle w:val="ListBullet2"/>
      </w:pPr>
      <w:r w:rsidRPr="0053643B">
        <w:t>basic special effects</w:t>
      </w:r>
    </w:p>
    <w:p w:rsidR="00000000" w:rsidRPr="0053643B" w:rsidP="0053643B">
      <w:pPr>
        <w:pStyle w:val="ListBullet"/>
      </w:pPr>
      <w:r w:rsidRPr="0053643B">
        <w:t>completion of clean-up activities.</w:t>
      </w:r>
    </w:p>
    <w:p w:rsidR="00000000" w:rsidRPr="0053643B" w:rsidP="000F3A27">
      <w:pPr>
        <w:pStyle w:val="BodyText"/>
      </w:pPr>
      <w:r w:rsidRPr="0053643B">
        <w:t>A person who has achieved this unit of competency would be expected to take responsibility for organising and completing these tasks with a high degree of self direction.</w:t>
      </w:r>
    </w:p>
    <w:p w:rsidR="00000000" w:rsidRPr="0053643B" w:rsidP="000F3A27">
      <w:pPr>
        <w:pStyle w:val="BodyText"/>
      </w:pPr>
      <w:r w:rsidRPr="0053643B">
        <w:t>Completion of the general construction induction training program specified by the mo</w:t>
      </w:r>
      <w:r w:rsidRPr="0053643B">
        <w:t xml:space="preserve">del Code of Practice for Construction Work is required for any person who is to carry out construction work.  Achievement of </w:t>
      </w:r>
      <w:r w:rsidRPr="0053643B">
        <w:rPr>
          <w:rStyle w:val="Emphasis"/>
        </w:rPr>
        <w:t>CPCWHS1001</w:t>
      </w:r>
      <w:r w:rsidRPr="0053643B">
        <w:t> </w:t>
      </w:r>
      <w:r w:rsidRPr="0053643B">
        <w:rPr>
          <w:rStyle w:val="Emphasis"/>
        </w:rPr>
        <w:t>Prepare to work safely in the construction industry</w:t>
      </w:r>
      <w:r w:rsidRPr="0053643B">
        <w:t> meets this requirement.</w:t>
      </w:r>
    </w:p>
    <w:p w:rsidR="00000000" w:rsidRPr="0053643B" w:rsidP="000F3A27">
      <w:pPr>
        <w:pStyle w:val="BodyText"/>
      </w:pPr>
      <w:r w:rsidRPr="0053643B">
        <w:t>No licensing, legislative or certification r</w:t>
      </w:r>
      <w:r w:rsidRPr="0053643B">
        <w:t>equirements apply to this unit at the time of publication.</w:t>
      </w:r>
    </w:p>
    <w:p w:rsidR="00000000" w:rsidRPr="0053643B" w:rsidP="0053643B">
      <w:pPr>
        <w:pStyle w:val="Heading1"/>
      </w:pPr>
      <w:bookmarkStart w:id="3" w:name="O_1292862"/>
      <w:bookmarkEnd w:id="3"/>
      <w:r w:rsidRPr="0053643B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50"/>
        <w:gridCol w:w="7422"/>
      </w:tblGrid>
      <w:tr w:rsidTr="00536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CPCCWHS2001</w:t>
            </w:r>
          </w:p>
        </w:tc>
        <w:tc>
          <w:tcPr>
            <w:tcW w:w="7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43B" w:rsidP="0053643B">
            <w:pPr>
              <w:pStyle w:val="BodyText"/>
            </w:pPr>
            <w:r w:rsidRPr="0053643B">
              <w:t>Apply WHS requirements, policies and procedures in the construction industry</w:t>
            </w:r>
          </w:p>
        </w:tc>
      </w:tr>
    </w:tbl>
    <w:p w:rsidR="00000000" w:rsidRPr="0053643B" w:rsidP="0053643B">
      <w:pPr>
        <w:pStyle w:val="BodyText"/>
      </w:pPr>
    </w:p>
    <w:p w:rsidR="00000000" w:rsidRPr="0053643B" w:rsidP="0053643B">
      <w:pPr>
        <w:pStyle w:val="AllowPageBreak"/>
      </w:pPr>
    </w:p>
    <w:p w:rsidR="00000000" w:rsidRPr="0053643B" w:rsidP="0053643B">
      <w:pPr>
        <w:pStyle w:val="Heading1"/>
      </w:pPr>
      <w:bookmarkStart w:id="4" w:name="O_1292861"/>
      <w:bookmarkEnd w:id="4"/>
      <w:r w:rsidRPr="0053643B">
        <w:t>Unit Sector</w:t>
      </w:r>
    </w:p>
    <w:p w:rsidR="00000000" w:rsidRPr="0053643B" w:rsidP="000F3A27">
      <w:pPr>
        <w:pStyle w:val="BodyText"/>
      </w:pPr>
      <w:r w:rsidRPr="0053643B">
        <w:t>Painting and Decorating</w:t>
      </w:r>
    </w:p>
    <w:p w:rsidR="00000000" w:rsidRPr="0053643B" w:rsidP="0053643B">
      <w:pPr>
        <w:pStyle w:val="Heading1"/>
      </w:pPr>
      <w:bookmarkStart w:id="5" w:name="O_1292860"/>
      <w:bookmarkEnd w:id="5"/>
      <w:r w:rsidRPr="0053643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36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Performance criteria describe what needs to be done to demonstrate achievement of the element.</w:t>
            </w:r>
          </w:p>
        </w:tc>
      </w:tr>
      <w:tr w:rsidTr="00536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Re</w:t>
            </w:r>
            <w:r w:rsidRPr="0053643B">
              <w:t>view work instructions to apply decorative paint finishes and select method of application.</w:t>
            </w:r>
          </w:p>
        </w:tc>
      </w:tr>
      <w:tr w:rsidTr="00536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Plan all work to meet relevant requirements of work health and safety (WHS), Commonwealth and state or territory legislation, environmental plans and obligat</w:t>
            </w:r>
            <w:r w:rsidRPr="0053643B">
              <w:t>ions, manufacturers’ specifications, and workplace requirements.</w:t>
            </w:r>
          </w:p>
        </w:tc>
      </w:tr>
      <w:tr w:rsidTr="00536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Select and fit personal protective equipment (PPE) as required for each task.</w:t>
            </w:r>
          </w:p>
        </w:tc>
      </w:tr>
      <w:tr w:rsidTr="00536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Inspect work site, assess hazards and apply risk controls, including required signage and barricades.</w:t>
            </w:r>
          </w:p>
        </w:tc>
      </w:tr>
      <w:tr w:rsidTr="00536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Identify the types and quantities of materials required for the task and safely prepare and position ready for use.</w:t>
            </w:r>
          </w:p>
        </w:tc>
      </w:tr>
      <w:tr w:rsidTr="00536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Select tools and equipme</w:t>
            </w:r>
            <w:r w:rsidRPr="0053643B">
              <w:t>nt, check for serviceability and report any faults.</w:t>
            </w:r>
          </w:p>
        </w:tc>
      </w:tr>
      <w:tr w:rsidTr="00536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</w:p>
        </w:tc>
      </w:tr>
      <w:tr w:rsidTr="00536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Prepare application area.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Check that materials and substrate surfaces are prepared in accordance with manufacturer recommendations and relevant Australian Standards.</w:t>
            </w:r>
          </w:p>
        </w:tc>
      </w:tr>
      <w:tr w:rsidTr="00536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Protect surrounding surfaces by drop sheets, masking or removal of objects.</w:t>
            </w:r>
          </w:p>
        </w:tc>
      </w:tr>
      <w:tr w:rsidTr="00536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 xml:space="preserve">Check work site to ensure provision of adequate ventilation and implementation of precautions to prevent </w:t>
            </w:r>
            <w:r w:rsidRPr="0053643B">
              <w:t>fire and explosion.</w:t>
            </w:r>
          </w:p>
        </w:tc>
      </w:tr>
      <w:tr w:rsidTr="00536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Implement measures to ensure application area remains free of dust and foreign matter.</w:t>
            </w:r>
          </w:p>
        </w:tc>
      </w:tr>
      <w:tr w:rsidTr="00536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Set-up area to apply decorative paint finishes.</w:t>
            </w:r>
          </w:p>
        </w:tc>
      </w:tr>
      <w:tr w:rsidTr="00536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</w:p>
        </w:tc>
      </w:tr>
      <w:tr w:rsidTr="00536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Apply mirror paint finish.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Apply prime and intermediate coats, allow to dry thoroughly and sand to a smooth, even finish.</w:t>
            </w:r>
          </w:p>
        </w:tc>
      </w:tr>
      <w:tr w:rsidTr="00536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Adjust paint viscosity to suit climatic conditions and selected application method.</w:t>
            </w:r>
          </w:p>
        </w:tc>
      </w:tr>
      <w:tr w:rsidTr="00536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Prepare surface for final coat of mirror paint finish.</w:t>
            </w:r>
          </w:p>
        </w:tc>
      </w:tr>
      <w:tr w:rsidTr="00536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Apply final coat without imperfections, flowing out to an even, smooth finish and meeting all requirements.</w:t>
            </w:r>
          </w:p>
        </w:tc>
      </w:tr>
      <w:tr w:rsidTr="00536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</w:p>
        </w:tc>
      </w:tr>
      <w:tr w:rsidTr="00536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Apply broken colour effects.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Apply ground coat evenly to prepared surface to specified colour and consistency.</w:t>
            </w:r>
          </w:p>
        </w:tc>
      </w:tr>
      <w:tr w:rsidTr="00536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Apply scumble glaze to prepared base coat and produce broken colour effect to match sample.</w:t>
            </w:r>
          </w:p>
        </w:tc>
      </w:tr>
      <w:tr w:rsidTr="00536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Apply clear coating to achieve an even finish to specified sheen level.</w:t>
            </w:r>
          </w:p>
        </w:tc>
      </w:tr>
      <w:tr w:rsidTr="00536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</w:p>
        </w:tc>
      </w:tr>
      <w:tr w:rsidTr="00536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Apply modern acrylic finishes.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Prepare surface for application of acrylic finish.</w:t>
            </w:r>
          </w:p>
        </w:tc>
      </w:tr>
      <w:tr w:rsidTr="00536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Apply acrylic finish to achieve an even finish to specification.</w:t>
            </w:r>
          </w:p>
        </w:tc>
      </w:tr>
      <w:tr w:rsidTr="00536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</w:p>
        </w:tc>
      </w:tr>
      <w:tr w:rsidTr="00536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Apply lining by brush.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Set out lining work to designed effect on prepared surface.</w:t>
            </w:r>
          </w:p>
        </w:tc>
      </w:tr>
      <w:tr w:rsidTr="00536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Select paint materials, applicators and brushware for lining work.</w:t>
            </w:r>
          </w:p>
        </w:tc>
      </w:tr>
      <w:tr w:rsidTr="00536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Apply application techniques to produce designed lining work effects and finish to requirements.</w:t>
            </w:r>
          </w:p>
        </w:tc>
      </w:tr>
      <w:tr w:rsidTr="00536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</w:p>
        </w:tc>
      </w:tr>
      <w:tr w:rsidTr="00536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7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Apply basic stencilling.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7.1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Use specified transfer method and cut design accurately using a register mark.</w:t>
            </w:r>
          </w:p>
        </w:tc>
      </w:tr>
      <w:tr w:rsidTr="00536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7.2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Lay out stencil design on recommended material.</w:t>
            </w:r>
          </w:p>
        </w:tc>
      </w:tr>
      <w:tr w:rsidTr="00536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7.3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Place and tape initial stencil to designed location.</w:t>
            </w:r>
          </w:p>
        </w:tc>
      </w:tr>
      <w:tr w:rsidTr="00536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7.4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Apply paint to achieve designed effect.</w:t>
            </w:r>
          </w:p>
        </w:tc>
      </w:tr>
      <w:tr w:rsidTr="00536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</w:p>
        </w:tc>
      </w:tr>
      <w:tr w:rsidTr="00536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8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Apply basic special finishes.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8.1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Select special effect materials, applicators and brushware.</w:t>
            </w:r>
          </w:p>
        </w:tc>
      </w:tr>
      <w:tr w:rsidTr="00536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8.2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Apply a range of traditional and modern special finishes to produce specified effects and finish.</w:t>
            </w:r>
          </w:p>
        </w:tc>
      </w:tr>
      <w:tr w:rsidTr="00536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</w:p>
        </w:tc>
      </w:tr>
      <w:tr w:rsidTr="00536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9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9.1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Clean up, meeting all legislative and workplace requirements for safety, waste disposal, materials handling and protection of the environment.</w:t>
            </w:r>
          </w:p>
        </w:tc>
      </w:tr>
      <w:tr w:rsidTr="00536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9.2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 xml:space="preserve">Clear work area, reuse or recycle materials and place waste and unwanted materials into job waste bins or </w:t>
            </w:r>
            <w:r w:rsidRPr="0053643B">
              <w:t>rubbish stockpile.</w:t>
            </w:r>
          </w:p>
        </w:tc>
      </w:tr>
      <w:tr w:rsidTr="00536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9.3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Check and maintain tools and equipment and clean with appropriate solvents.</w:t>
            </w:r>
          </w:p>
        </w:tc>
      </w:tr>
      <w:tr w:rsidTr="00536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9.4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Dispose of paint waste and water and solvents used in cleaning tools and equipment in an environmentally sustainable manner.</w:t>
            </w:r>
          </w:p>
        </w:tc>
      </w:tr>
      <w:tr w:rsidTr="00536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43B">
            <w:pPr>
              <w:pStyle w:val="BodyText"/>
              <w:rPr>
                <w:lang w:val="en-NZ"/>
              </w:rPr>
            </w:pPr>
            <w:r w:rsidRPr="0053643B">
              <w:t>9.5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43B" w:rsidP="0053643B">
            <w:pPr>
              <w:pStyle w:val="BodyText"/>
            </w:pPr>
            <w:r w:rsidRPr="0053643B">
              <w:t>Store tools, equipment and sealed unused materials to avoid spontaneous ignition.</w:t>
            </w:r>
          </w:p>
        </w:tc>
      </w:tr>
    </w:tbl>
    <w:p w:rsidR="00000000" w:rsidRPr="0053643B" w:rsidP="0053643B">
      <w:pPr>
        <w:pStyle w:val="BodyText"/>
      </w:pPr>
    </w:p>
    <w:p w:rsidR="00000000" w:rsidRPr="0053643B" w:rsidP="0053643B">
      <w:pPr>
        <w:pStyle w:val="AllowPageBreak"/>
      </w:pPr>
    </w:p>
    <w:p w:rsidR="00000000" w:rsidRPr="0053643B" w:rsidP="0053643B">
      <w:pPr>
        <w:pStyle w:val="Heading1"/>
      </w:pPr>
      <w:bookmarkStart w:id="6" w:name="O_1292859"/>
      <w:bookmarkEnd w:id="6"/>
      <w:r w:rsidRPr="0053643B">
        <w:t>Foundation Skills</w:t>
      </w:r>
    </w:p>
    <w:p w:rsidR="00000000" w:rsidRPr="0053643B" w:rsidP="000F3A27">
      <w:pPr>
        <w:pStyle w:val="BodyText"/>
      </w:pPr>
      <w:r w:rsidRPr="0053643B">
        <w:t xml:space="preserve">Foundation skills essential to performance are explicit in the performance criteria of this unit of competency. </w:t>
      </w:r>
    </w:p>
    <w:p w:rsidR="00000000" w:rsidRPr="0053643B" w:rsidP="0053643B">
      <w:pPr>
        <w:pStyle w:val="Heading1"/>
      </w:pPr>
      <w:bookmarkStart w:id="7" w:name="O_1292858"/>
      <w:bookmarkEnd w:id="7"/>
      <w:r w:rsidRPr="0053643B">
        <w:t>Unit Mapping Information</w:t>
      </w:r>
    </w:p>
    <w:p w:rsidR="00000000" w:rsidRPr="0053643B" w:rsidP="000F3A27">
      <w:pPr>
        <w:pStyle w:val="BodyText"/>
      </w:pPr>
      <w:r w:rsidRPr="0053643B">
        <w:t>Supersedes and equivalent to CPCCPD3028A Apply decorative paint finishes.</w:t>
      </w:r>
    </w:p>
    <w:p w:rsidR="00000000" w:rsidRPr="0053643B" w:rsidP="0053643B">
      <w:pPr>
        <w:pStyle w:val="Heading1"/>
      </w:pPr>
      <w:bookmarkStart w:id="8" w:name="O_1292865"/>
      <w:bookmarkEnd w:id="8"/>
      <w:r w:rsidRPr="0053643B">
        <w:t>Links</w:t>
      </w:r>
    </w:p>
    <w:p w:rsidR="00000000" w:rsidRPr="0053643B" w:rsidP="000F3A27">
      <w:pPr>
        <w:pStyle w:val="BodyText"/>
      </w:pPr>
      <w:r w:rsidRPr="0053643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0081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3643B" w:rsidP="0053643B"/>
    <w:sectPr w:rsidSect="005364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4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43B" w:rsidRPr="000F3A27" w:rsidP="000F3A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4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A27" w:rsidP="005364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3A27" w:rsidP="005364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F3A27" w:rsidP="005364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4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A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643B" w:rsidRPr="000F3A27" w:rsidP="000F3A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4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A27" w:rsidRPr="002D2AF8" w:rsidP="005364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CPCCPD3028 Apply decorative paint finishes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F3A27" w:rsidP="005364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2C69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8896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F4DD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4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64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64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64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64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64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64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64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64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64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64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643B"/>
  </w:style>
  <w:style w:type="character" w:customStyle="1" w:styleId="Heading1Char">
    <w:name w:val="Heading 1 Char"/>
    <w:basedOn w:val="DefaultParagraphFont"/>
    <w:link w:val="Heading1"/>
    <w:rsid w:val="005364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64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64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643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3643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3643B"/>
    <w:rPr>
      <w:i/>
    </w:rPr>
  </w:style>
  <w:style w:type="paragraph" w:customStyle="1" w:styleId="SuperHeading">
    <w:name w:val="SuperHeading"/>
    <w:basedOn w:val="Normal"/>
    <w:rsid w:val="005364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64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64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64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64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64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64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64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64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64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64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64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64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64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64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64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64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64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64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64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64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64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643B"/>
    <w:rPr>
      <w:b/>
      <w:spacing w:val="0"/>
    </w:rPr>
  </w:style>
  <w:style w:type="paragraph" w:customStyle="1" w:styleId="SuperTitle">
    <w:name w:val="SuperTitle"/>
    <w:basedOn w:val="Title"/>
    <w:rsid w:val="005364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64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64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64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64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64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64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64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64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64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64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64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64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64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64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643B"/>
  </w:style>
  <w:style w:type="paragraph" w:styleId="TableofFigures">
    <w:name w:val="table of figures"/>
    <w:basedOn w:val="Normal"/>
    <w:next w:val="Normal"/>
    <w:semiHidden/>
    <w:rsid w:val="005364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64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643B"/>
    <w:rPr>
      <w:rFonts w:ascii="Wingdings" w:hAnsi="Wingdings"/>
    </w:rPr>
  </w:style>
  <w:style w:type="paragraph" w:customStyle="1" w:styleId="TableHeading">
    <w:name w:val="Table Heading"/>
    <w:basedOn w:val="HeadingBase"/>
    <w:rsid w:val="005364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643B"/>
    <w:rPr>
      <w:color w:val="0033CC"/>
      <w:u w:val="none"/>
    </w:rPr>
  </w:style>
  <w:style w:type="paragraph" w:customStyle="1" w:styleId="BodyTextRight">
    <w:name w:val="Body Text Right"/>
    <w:basedOn w:val="BodyText"/>
    <w:rsid w:val="005364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64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64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64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64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64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643B"/>
    <w:rPr>
      <w:sz w:val="32"/>
    </w:rPr>
  </w:style>
  <w:style w:type="paragraph" w:customStyle="1" w:styleId="HeadingProcedure">
    <w:name w:val="Heading Procedure"/>
    <w:basedOn w:val="HeadingBase"/>
    <w:next w:val="Normal"/>
    <w:rsid w:val="005364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643B"/>
    <w:pPr>
      <w:spacing w:before="60" w:after="60"/>
    </w:pPr>
  </w:style>
  <w:style w:type="paragraph" w:styleId="ListContinue">
    <w:name w:val="List Continue"/>
    <w:basedOn w:val="List"/>
    <w:rsid w:val="0053643B"/>
    <w:pPr>
      <w:ind w:firstLine="0"/>
    </w:pPr>
  </w:style>
  <w:style w:type="paragraph" w:customStyle="1" w:styleId="ListNote">
    <w:name w:val="List Note"/>
    <w:basedOn w:val="List"/>
    <w:rsid w:val="005364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64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64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643B"/>
    <w:rPr>
      <w:rFonts w:ascii="Courier New" w:hAnsi="Courier New"/>
    </w:rPr>
  </w:style>
  <w:style w:type="paragraph" w:customStyle="1" w:styleId="NoteBullet">
    <w:name w:val="Note Bullet"/>
    <w:basedOn w:val="Note"/>
    <w:rsid w:val="005364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64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64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64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64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64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64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643B"/>
    <w:rPr>
      <w:b/>
      <w:smallCaps/>
    </w:rPr>
  </w:style>
  <w:style w:type="paragraph" w:customStyle="1" w:styleId="TableListNumber">
    <w:name w:val="Table List Number"/>
    <w:basedOn w:val="ListNumber"/>
    <w:rsid w:val="005364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64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643B"/>
    <w:pPr>
      <w:numPr>
        <w:numId w:val="9"/>
      </w:numPr>
    </w:pPr>
  </w:style>
  <w:style w:type="paragraph" w:customStyle="1" w:styleId="ListAlpha2">
    <w:name w:val="List Alpha 2"/>
    <w:basedOn w:val="List2"/>
    <w:rsid w:val="0053643B"/>
    <w:pPr>
      <w:numPr>
        <w:numId w:val="8"/>
      </w:numPr>
    </w:pPr>
  </w:style>
  <w:style w:type="paragraph" w:styleId="List2">
    <w:name w:val="List 2"/>
    <w:basedOn w:val="BodyText"/>
    <w:rsid w:val="005364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64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64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64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64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64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643B"/>
    <w:pPr>
      <w:numPr>
        <w:numId w:val="4"/>
      </w:numPr>
    </w:pPr>
  </w:style>
  <w:style w:type="paragraph" w:styleId="ListContinue2">
    <w:name w:val="List Continue 2"/>
    <w:basedOn w:val="List2"/>
    <w:rsid w:val="0053643B"/>
    <w:pPr>
      <w:ind w:firstLine="0"/>
    </w:pPr>
  </w:style>
  <w:style w:type="paragraph" w:styleId="ListContinue3">
    <w:name w:val="List Continue 3"/>
    <w:basedOn w:val="List3"/>
    <w:rsid w:val="0053643B"/>
    <w:pPr>
      <w:ind w:left="1021" w:firstLine="0"/>
    </w:pPr>
  </w:style>
  <w:style w:type="paragraph" w:styleId="ListContinue4">
    <w:name w:val="List Continue 4"/>
    <w:basedOn w:val="List4"/>
    <w:rsid w:val="0053643B"/>
    <w:pPr>
      <w:ind w:firstLine="0"/>
    </w:pPr>
  </w:style>
  <w:style w:type="paragraph" w:styleId="ListContinue5">
    <w:name w:val="List Continue 5"/>
    <w:basedOn w:val="List5"/>
    <w:rsid w:val="0053643B"/>
    <w:pPr>
      <w:ind w:firstLine="0"/>
    </w:pPr>
  </w:style>
  <w:style w:type="paragraph" w:styleId="ListNumber3">
    <w:name w:val="List Number 3"/>
    <w:basedOn w:val="List3"/>
    <w:rsid w:val="0053643B"/>
    <w:pPr>
      <w:numPr>
        <w:numId w:val="5"/>
      </w:numPr>
    </w:pPr>
  </w:style>
  <w:style w:type="paragraph" w:styleId="ListNumber4">
    <w:name w:val="List Number 4"/>
    <w:basedOn w:val="List4"/>
    <w:rsid w:val="0053643B"/>
    <w:pPr>
      <w:numPr>
        <w:numId w:val="6"/>
      </w:numPr>
    </w:pPr>
  </w:style>
  <w:style w:type="paragraph" w:styleId="ListNumber5">
    <w:name w:val="List Number 5"/>
    <w:basedOn w:val="List5"/>
    <w:rsid w:val="0053643B"/>
    <w:pPr>
      <w:numPr>
        <w:numId w:val="7"/>
      </w:numPr>
    </w:pPr>
  </w:style>
  <w:style w:type="paragraph" w:styleId="BlockText">
    <w:name w:val="Block Text"/>
    <w:basedOn w:val="Normal"/>
    <w:rsid w:val="005364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64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643B"/>
    <w:rPr>
      <w:sz w:val="16"/>
      <w:vertAlign w:val="superscript"/>
    </w:rPr>
  </w:style>
  <w:style w:type="character" w:customStyle="1" w:styleId="Symbols">
    <w:name w:val="Symbols"/>
    <w:basedOn w:val="DefaultParagraphFont"/>
    <w:rsid w:val="0053643B"/>
    <w:rPr>
      <w:rFonts w:ascii="Symbol" w:hAnsi="Symbol"/>
    </w:rPr>
  </w:style>
  <w:style w:type="character" w:customStyle="1" w:styleId="MenuOptions">
    <w:name w:val="Menu Options"/>
    <w:basedOn w:val="DefaultParagraphFont"/>
    <w:rsid w:val="005364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643B"/>
    <w:rPr>
      <w:b/>
    </w:rPr>
  </w:style>
  <w:style w:type="character" w:customStyle="1" w:styleId="Underlined">
    <w:name w:val="Underlined"/>
    <w:basedOn w:val="DefaultParagraphFont"/>
    <w:rsid w:val="0053643B"/>
    <w:rPr>
      <w:u w:val="single"/>
    </w:rPr>
  </w:style>
  <w:style w:type="paragraph" w:customStyle="1" w:styleId="TableBodyTextRight">
    <w:name w:val="Table Body Text Right"/>
    <w:basedOn w:val="TableBodyText"/>
    <w:rsid w:val="005364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643B"/>
    <w:rPr>
      <w:sz w:val="18"/>
    </w:rPr>
  </w:style>
  <w:style w:type="paragraph" w:customStyle="1" w:styleId="BodySmallRight">
    <w:name w:val="Body Small Right"/>
    <w:basedOn w:val="BodyTextRight"/>
    <w:rsid w:val="0053643B"/>
    <w:rPr>
      <w:sz w:val="18"/>
      <w:szCs w:val="18"/>
    </w:rPr>
  </w:style>
  <w:style w:type="paragraph" w:customStyle="1" w:styleId="MarginEdition">
    <w:name w:val="Margin Edition"/>
    <w:basedOn w:val="MarginNote"/>
    <w:rsid w:val="005364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643B"/>
    <w:rPr>
      <w:sz w:val="2"/>
      <w:szCs w:val="2"/>
    </w:rPr>
  </w:style>
  <w:style w:type="character" w:customStyle="1" w:styleId="Small">
    <w:name w:val="Small"/>
    <w:basedOn w:val="DefaultParagraphFont"/>
    <w:rsid w:val="0053643B"/>
    <w:rPr>
      <w:sz w:val="16"/>
    </w:rPr>
  </w:style>
  <w:style w:type="paragraph" w:customStyle="1" w:styleId="WideTable">
    <w:name w:val="Wide Table"/>
    <w:basedOn w:val="Normal"/>
    <w:rsid w:val="005364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643B"/>
  </w:style>
  <w:style w:type="paragraph" w:styleId="Quote">
    <w:name w:val="Quote"/>
    <w:basedOn w:val="Heading1"/>
    <w:link w:val="QuoteChar"/>
    <w:qFormat/>
    <w:rsid w:val="005364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64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643B"/>
    <w:pPr>
      <w:pageBreakBefore/>
    </w:pPr>
  </w:style>
  <w:style w:type="paragraph" w:customStyle="1" w:styleId="Border">
    <w:name w:val="Border"/>
    <w:basedOn w:val="Normal"/>
    <w:qFormat/>
    <w:rsid w:val="005364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64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4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64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64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64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64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64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64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643B"/>
    <w:rPr>
      <w:u w:val="single"/>
    </w:rPr>
  </w:style>
  <w:style w:type="character" w:customStyle="1" w:styleId="BoldandItalics">
    <w:name w:val="Bold and Italics"/>
    <w:qFormat/>
    <w:rsid w:val="0053643B"/>
    <w:rPr>
      <w:b/>
      <w:i/>
      <w:u w:val="none"/>
    </w:rPr>
  </w:style>
  <w:style w:type="paragraph" w:styleId="BalloonText">
    <w:name w:val="Balloon Text"/>
    <w:basedOn w:val="Normal"/>
    <w:link w:val="BalloonTextChar"/>
    <w:rsid w:val="005364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64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64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64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64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64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643B"/>
    <w:pPr>
      <w:spacing w:before="0" w:after="0"/>
    </w:pPr>
  </w:style>
  <w:style w:type="paragraph" w:customStyle="1" w:styleId="BodyTextBold">
    <w:name w:val="Body Text Bold"/>
    <w:basedOn w:val="BodyText"/>
    <w:qFormat/>
    <w:rsid w:val="0053643B"/>
    <w:rPr>
      <w:b/>
    </w:rPr>
  </w:style>
  <w:style w:type="character" w:styleId="Hyperlink">
    <w:name w:val="Hyperlink"/>
    <w:basedOn w:val="DefaultParagraphFont"/>
    <w:uiPriority w:val="99"/>
    <w:unhideWhenUsed/>
    <w:rsid w:val="000F3A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874</Words>
  <Characters>5176</Characters>
  <Application>Microsoft Office Word</Application>
  <DocSecurity>0</DocSecurity>
  <Lines>272</Lines>
  <Paragraphs>155</Paragraphs>
  <ScaleCrop>false</ScaleCrop>
  <Company>Author-it Software Corporation Ltd.</Company>
  <LinksUpToDate>false</LinksUpToDate>
  <CharactersWithSpaces>5895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CPCCPD3028 Apply decorative paint finishes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2024-12-24T01:18:00Z</dcterms:created>
  <dcterms:modified xsi:type="dcterms:W3CDTF">2024-12-24T01:18:00Z</dcterms:modified>
</cp:coreProperties>
</file>