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5D03" w:rsidP="004A5D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CPCCPD3025 Match specific paint colours</w:t>
      </w:r>
      <w:r>
        <w:fldChar w:fldCharType="end"/>
      </w:r>
    </w:p>
    <w:p w:rsidR="004A5D03" w:rsidP="004A5D03">
      <w:pPr>
        <w:pStyle w:val="Version"/>
        <w:sectPr w:rsidSect="008015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801595" w:rsidP="00801595">
      <w:pPr>
        <w:pStyle w:val="SuperHeading"/>
      </w:pPr>
      <w:r w:rsidRPr="00801595">
        <w:t>CPCCPD3025 Match specific paint colours</w:t>
      </w:r>
    </w:p>
    <w:p w:rsidR="00000000" w:rsidRPr="00801595" w:rsidP="00801595">
      <w:pPr>
        <w:pStyle w:val="Heading1"/>
      </w:pPr>
      <w:bookmarkStart w:id="1" w:name="O_1292912"/>
      <w:bookmarkEnd w:id="1"/>
      <w:r w:rsidRPr="008015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01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Updated reference to general construction induction training program.</w:t>
            </w:r>
          </w:p>
        </w:tc>
      </w:tr>
      <w:tr w:rsidTr="00801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595" w:rsidP="00801595">
            <w:pPr>
              <w:pStyle w:val="BodyText"/>
            </w:pPr>
            <w:r w:rsidRPr="00801595">
              <w:t>This version first released with CPC Construction, Plumbing and Services Training Package Release 6.4.</w:t>
            </w:r>
          </w:p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Correction to Training Package title in t</w:t>
            </w:r>
            <w:r w:rsidRPr="00801595">
              <w:t>he Modification History from CPC Property Services to CPC Construction, Plumbing and Services Training Package Release 1.</w:t>
            </w:r>
          </w:p>
        </w:tc>
      </w:tr>
      <w:tr w:rsidTr="00801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595" w:rsidP="00801595">
            <w:pPr>
              <w:pStyle w:val="BodyText"/>
            </w:pPr>
            <w:r w:rsidRPr="00801595">
              <w:t>This version first released with CPC Construction, Plumbing and Services Training Package Release 5.1.</w:t>
            </w:r>
          </w:p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Correction to unit m</w:t>
            </w:r>
            <w:r w:rsidRPr="00801595">
              <w:t>apping.</w:t>
            </w:r>
          </w:p>
        </w:tc>
      </w:tr>
      <w:tr w:rsidTr="00801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595" w:rsidP="00801595">
            <w:pPr>
              <w:pStyle w:val="BodyText"/>
            </w:pPr>
            <w:r w:rsidRPr="00801595">
              <w:t>This version first released with CPC Property Services Training Package Release 5.0.</w:t>
            </w:r>
          </w:p>
          <w:p w:rsidR="00000000" w:rsidRPr="00801595" w:rsidP="00801595">
            <w:pPr>
              <w:pStyle w:val="BodyText"/>
            </w:pPr>
            <w:r w:rsidRPr="00801595">
              <w:t>Supersedes and is equivalent to CPCCPD3025A Match specific paint colours.  Minor title change.  Updated to meet to the Standards for Training Packages 2</w:t>
            </w:r>
            <w:r w:rsidRPr="00801595">
              <w:t>012.</w:t>
            </w:r>
          </w:p>
        </w:tc>
      </w:tr>
    </w:tbl>
    <w:p w:rsidR="00000000" w:rsidRPr="00801595" w:rsidP="00801595">
      <w:pPr>
        <w:pStyle w:val="BodyText"/>
      </w:pPr>
    </w:p>
    <w:p w:rsidR="00000000" w:rsidRPr="00801595" w:rsidP="00801595">
      <w:pPr>
        <w:pStyle w:val="AllowPageBreak"/>
      </w:pPr>
    </w:p>
    <w:p w:rsidR="00000000" w:rsidRPr="00801595" w:rsidP="00801595">
      <w:pPr>
        <w:pStyle w:val="Heading1"/>
      </w:pPr>
      <w:bookmarkStart w:id="2" w:name="O_1292911"/>
      <w:bookmarkEnd w:id="2"/>
      <w:r w:rsidRPr="00801595">
        <w:t>Application</w:t>
      </w:r>
    </w:p>
    <w:p w:rsidR="00000000" w:rsidRPr="00801595" w:rsidP="004A5D03">
      <w:pPr>
        <w:pStyle w:val="BodyText"/>
      </w:pPr>
      <w:r w:rsidRPr="00801595">
        <w:t xml:space="preserve">This unit of competency specifies the skills and knowledge required to colour-match new and existing painting finishes. </w:t>
      </w:r>
    </w:p>
    <w:p w:rsidR="00000000" w:rsidRPr="00801595" w:rsidP="004A5D03">
      <w:pPr>
        <w:pStyle w:val="BodyText"/>
      </w:pPr>
      <w:r w:rsidRPr="00801595">
        <w:t>The unit includes matching of paint colour to a specified sample.</w:t>
      </w:r>
    </w:p>
    <w:p w:rsidR="00000000" w:rsidRPr="00801595" w:rsidP="004A5D03">
      <w:pPr>
        <w:pStyle w:val="BodyText"/>
      </w:pPr>
      <w:r w:rsidRPr="00801595">
        <w:t>A person who has achieved this unit of competency would be expected to take responsibility for organising and completing these tasks with a high degree of self-direction.</w:t>
      </w:r>
    </w:p>
    <w:p w:rsidR="00000000" w:rsidRPr="00801595" w:rsidP="004A5D03">
      <w:pPr>
        <w:pStyle w:val="BodyText"/>
      </w:pPr>
      <w:r w:rsidRPr="00801595">
        <w:t>Completion of the general construction induction training program specified by the mo</w:t>
      </w:r>
      <w:r w:rsidRPr="00801595">
        <w:t xml:space="preserve">del Code of Practice for Construction Work is required for any person who is to carry out construction work.  Achievement of </w:t>
      </w:r>
      <w:r w:rsidRPr="00801595">
        <w:rPr>
          <w:rStyle w:val="Emphasis"/>
        </w:rPr>
        <w:t>CPCWHS1001 Prepare to work safely in the construction industry</w:t>
      </w:r>
      <w:r w:rsidRPr="00801595">
        <w:t> meets this requirement.</w:t>
      </w:r>
    </w:p>
    <w:p w:rsidR="00000000" w:rsidRPr="00801595" w:rsidP="004A5D03">
      <w:pPr>
        <w:pStyle w:val="BodyText"/>
      </w:pPr>
      <w:r w:rsidRPr="00801595">
        <w:t>No licensing, legislative or certification r</w:t>
      </w:r>
      <w:r w:rsidRPr="00801595">
        <w:t>equirements apply to this unit at the time of publication.</w:t>
      </w:r>
    </w:p>
    <w:p w:rsidR="00000000" w:rsidRPr="00801595" w:rsidP="00801595">
      <w:pPr>
        <w:pStyle w:val="Heading1"/>
      </w:pPr>
      <w:bookmarkStart w:id="3" w:name="O_1292910"/>
      <w:bookmarkEnd w:id="3"/>
      <w:r w:rsidRPr="0080159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0"/>
        <w:gridCol w:w="7422"/>
      </w:tblGrid>
      <w:tr w:rsidTr="00801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CPCCWHS2001</w:t>
            </w:r>
          </w:p>
        </w:tc>
        <w:tc>
          <w:tcPr>
            <w:tcW w:w="7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595" w:rsidP="00801595">
            <w:pPr>
              <w:pStyle w:val="BodyText"/>
            </w:pPr>
            <w:r w:rsidRPr="00801595">
              <w:t>Apply WHS requirements, policies and procedures in the construction industry</w:t>
            </w:r>
          </w:p>
        </w:tc>
      </w:tr>
    </w:tbl>
    <w:p w:rsidR="00000000" w:rsidRPr="00801595" w:rsidP="00801595">
      <w:pPr>
        <w:pStyle w:val="BodyText"/>
      </w:pPr>
    </w:p>
    <w:p w:rsidR="00000000" w:rsidRPr="00801595" w:rsidP="00801595">
      <w:pPr>
        <w:pStyle w:val="AllowPageBreak"/>
      </w:pPr>
    </w:p>
    <w:p w:rsidR="00000000" w:rsidRPr="00801595" w:rsidP="00801595">
      <w:pPr>
        <w:pStyle w:val="Heading1"/>
      </w:pPr>
      <w:bookmarkStart w:id="4" w:name="O_1292909"/>
      <w:bookmarkEnd w:id="4"/>
      <w:r w:rsidRPr="00801595">
        <w:t>Unit Sector</w:t>
      </w:r>
    </w:p>
    <w:p w:rsidR="00000000" w:rsidRPr="00801595" w:rsidP="004A5D03">
      <w:pPr>
        <w:pStyle w:val="BodyText"/>
      </w:pPr>
      <w:r w:rsidRPr="00801595">
        <w:t>Painting and Decorating</w:t>
      </w:r>
    </w:p>
    <w:p w:rsidR="00000000" w:rsidRPr="00801595" w:rsidP="00801595">
      <w:pPr>
        <w:pStyle w:val="Heading1"/>
      </w:pPr>
      <w:bookmarkStart w:id="5" w:name="O_1292908"/>
      <w:bookmarkEnd w:id="5"/>
      <w:r w:rsidRPr="008015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01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Performance criteria describe what needs to be done to demonstrate achievement of the element.</w:t>
            </w:r>
          </w:p>
        </w:tc>
      </w:tr>
      <w:tr w:rsidTr="00801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Review work instructions to interpret and match paint colour.</w:t>
            </w:r>
          </w:p>
        </w:tc>
      </w:tr>
      <w:tr w:rsidTr="00801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Plan all work to meet relevant requirements of work health and safety (WHS), Commonwealth and state or territory legislation, environmental plans and obligations, manufacturers’ specifica</w:t>
            </w:r>
            <w:r w:rsidRPr="00801595">
              <w:t>tions, and workplace requirements.</w:t>
            </w:r>
          </w:p>
        </w:tc>
      </w:tr>
      <w:tr w:rsidTr="00801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Select tools and equipment, including personal protective equipment (PPE), check for serviceability and report any faults.</w:t>
            </w:r>
          </w:p>
        </w:tc>
      </w:tr>
      <w:tr w:rsidTr="00801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</w:p>
        </w:tc>
      </w:tr>
      <w:tr w:rsidTr="00801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595" w:rsidP="00801595">
            <w:pPr>
              <w:pStyle w:val="BodyText"/>
            </w:pPr>
            <w:r w:rsidRPr="00801595">
              <w:t>Match paint colour to</w:t>
            </w:r>
          </w:p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sample.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From a provided colour sample, determine paint type and sheen level.</w:t>
            </w:r>
          </w:p>
        </w:tc>
      </w:tr>
      <w:tr w:rsidTr="00801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Select paint type, paint base and colourants for colour match.</w:t>
            </w:r>
          </w:p>
        </w:tc>
      </w:tr>
      <w:tr w:rsidTr="00801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Mix and match colour against sample and allow to dry.</w:t>
            </w:r>
          </w:p>
        </w:tc>
      </w:tr>
      <w:tr w:rsidTr="00801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Test dr</w:t>
            </w:r>
            <w:r w:rsidRPr="00801595">
              <w:t>y paint to establish accuracy of match of colour, adjusting and repeating testing process as required.</w:t>
            </w:r>
          </w:p>
        </w:tc>
      </w:tr>
      <w:tr w:rsidTr="00801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Record details of colourants used to achieve the paint match.</w:t>
            </w:r>
          </w:p>
        </w:tc>
      </w:tr>
      <w:tr w:rsidTr="00801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</w:p>
        </w:tc>
      </w:tr>
      <w:tr w:rsidTr="00801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Clear work area and check and maintain tools and equipment and clean with appropriate solvents without damage.</w:t>
            </w:r>
          </w:p>
        </w:tc>
      </w:tr>
      <w:tr w:rsidTr="00801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Dispose of water and solvents used in cleaning tools and equipment in an environmentally sustainable manner.</w:t>
            </w:r>
          </w:p>
        </w:tc>
      </w:tr>
      <w:tr w:rsidTr="00801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595" w:rsidP="00801595">
            <w:pPr>
              <w:pStyle w:val="BodyText"/>
            </w:pPr>
            <w:r w:rsidRPr="00801595">
              <w:t>Store tools, equipment and sealed unused materials to avoid spontaneous ignition.</w:t>
            </w:r>
          </w:p>
        </w:tc>
      </w:tr>
    </w:tbl>
    <w:p w:rsidR="00000000" w:rsidRPr="00801595" w:rsidP="00801595">
      <w:pPr>
        <w:pStyle w:val="BodyText"/>
      </w:pPr>
    </w:p>
    <w:p w:rsidR="00000000" w:rsidRPr="00801595" w:rsidP="00801595">
      <w:pPr>
        <w:pStyle w:val="AllowPageBreak"/>
      </w:pPr>
    </w:p>
    <w:p w:rsidR="00000000" w:rsidRPr="00801595" w:rsidP="00801595">
      <w:pPr>
        <w:pStyle w:val="Heading1"/>
      </w:pPr>
      <w:bookmarkStart w:id="6" w:name="O_1292907"/>
      <w:bookmarkEnd w:id="6"/>
      <w:r w:rsidRPr="00801595">
        <w:t>Foundation Skills</w:t>
      </w:r>
    </w:p>
    <w:p w:rsidR="00000000" w:rsidRPr="00801595" w:rsidP="004A5D03">
      <w:pPr>
        <w:pStyle w:val="BodyText"/>
      </w:pPr>
      <w:r w:rsidRPr="00801595">
        <w:t xml:space="preserve">Foundation skills essential to performance are explicit in the performance criteria of this unit of competency. </w:t>
      </w:r>
    </w:p>
    <w:p w:rsidR="00000000" w:rsidRPr="00801595" w:rsidP="00801595">
      <w:pPr>
        <w:pStyle w:val="Heading1"/>
      </w:pPr>
      <w:bookmarkStart w:id="7" w:name="O_1292906"/>
      <w:bookmarkEnd w:id="7"/>
      <w:r w:rsidRPr="00801595">
        <w:t>Unit Mapping Information</w:t>
      </w:r>
    </w:p>
    <w:p w:rsidR="00000000" w:rsidRPr="00801595" w:rsidP="004A5D03">
      <w:pPr>
        <w:pStyle w:val="BodyText"/>
      </w:pPr>
      <w:r w:rsidRPr="00801595">
        <w:t>Supersedes and equivalent to CPCCPD3025A Match specified paint colour.</w:t>
      </w:r>
    </w:p>
    <w:p w:rsidR="00000000" w:rsidRPr="00801595" w:rsidP="00801595">
      <w:pPr>
        <w:pStyle w:val="Heading1"/>
      </w:pPr>
      <w:bookmarkStart w:id="8" w:name="O_1292913"/>
      <w:bookmarkEnd w:id="8"/>
      <w:r w:rsidRPr="00801595">
        <w:t>Links</w:t>
      </w:r>
    </w:p>
    <w:p w:rsidR="00000000" w:rsidRPr="00801595" w:rsidP="004A5D03">
      <w:pPr>
        <w:pStyle w:val="BodyText"/>
      </w:pPr>
      <w:r w:rsidRPr="0080159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E256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01595" w:rsidP="004A5D03">
      <w:pPr>
        <w:pStyle w:val="BodyText"/>
        <w:sectPr w:rsidSect="008015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1595" w:rsidP="00801595">
      <w:pPr>
        <w:pStyle w:val="SuperHeading"/>
      </w:pPr>
      <w:r w:rsidRPr="00801595">
        <w:t>Assessment Requirements for CPCCPD3025 Match specific paint colours</w:t>
      </w:r>
    </w:p>
    <w:p w:rsidR="00000000" w:rsidRPr="00801595" w:rsidP="00801595">
      <w:pPr>
        <w:pStyle w:val="Heading1"/>
      </w:pPr>
      <w:bookmarkStart w:id="9" w:name="O_1292904"/>
      <w:bookmarkEnd w:id="9"/>
      <w:r w:rsidRPr="008015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01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 xml:space="preserve">Updated reference to general construction induction training </w:t>
            </w:r>
            <w:r w:rsidRPr="00801595">
              <w:t>program.</w:t>
            </w:r>
          </w:p>
        </w:tc>
      </w:tr>
      <w:tr w:rsidTr="00801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595" w:rsidP="00801595">
            <w:pPr>
              <w:pStyle w:val="BodyText"/>
            </w:pPr>
            <w:r w:rsidRPr="00801595">
              <w:t>This version first released with CPC Construction, Plumbing and Services Training Package Release 6.4.</w:t>
            </w:r>
          </w:p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Correction to Training Package title in the Modification History from CPC Property Services to CPC Construction, Plumbing and Service</w:t>
            </w:r>
            <w:r w:rsidRPr="00801595">
              <w:t>s Training Package Release 1.</w:t>
            </w:r>
          </w:p>
        </w:tc>
      </w:tr>
      <w:tr w:rsidTr="00801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595" w:rsidP="00801595">
            <w:pPr>
              <w:pStyle w:val="BodyText"/>
            </w:pPr>
            <w:r w:rsidRPr="00801595">
              <w:t>This version first released with CPC Construction, Plumbing and Services Training Package Release 5.1.</w:t>
            </w:r>
          </w:p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Correction to unit mapping.</w:t>
            </w:r>
          </w:p>
        </w:tc>
      </w:tr>
      <w:tr w:rsidTr="008015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95">
            <w:pPr>
              <w:pStyle w:val="BodyText"/>
              <w:rPr>
                <w:lang w:val="en-NZ"/>
              </w:rPr>
            </w:pPr>
            <w:r w:rsidRPr="0080159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595" w:rsidP="00801595">
            <w:pPr>
              <w:pStyle w:val="BodyText"/>
            </w:pPr>
            <w:r w:rsidRPr="00801595">
              <w:t>This version first released with CPC Property Services Training Package Release 5.0.</w:t>
            </w:r>
          </w:p>
          <w:p w:rsidR="00000000" w:rsidRPr="00801595" w:rsidP="00801595">
            <w:pPr>
              <w:pStyle w:val="BodyText"/>
            </w:pPr>
            <w:r w:rsidRPr="00801595">
              <w:t>Supersedes and is equivalent to CPCCPD3025A Match specific paint colours.  Minor title change.  Updated to meet to the Standards for Training Packages 2012.</w:t>
            </w:r>
          </w:p>
        </w:tc>
      </w:tr>
    </w:tbl>
    <w:p w:rsidR="00000000" w:rsidRPr="00801595" w:rsidP="00801595">
      <w:pPr>
        <w:pStyle w:val="BodyText"/>
      </w:pPr>
    </w:p>
    <w:p w:rsidR="00000000" w:rsidRPr="00801595" w:rsidP="00801595">
      <w:pPr>
        <w:pStyle w:val="AllowPageBreak"/>
      </w:pPr>
    </w:p>
    <w:p w:rsidR="00000000" w:rsidRPr="00801595" w:rsidP="00801595">
      <w:pPr>
        <w:pStyle w:val="Heading1"/>
      </w:pPr>
      <w:bookmarkStart w:id="10" w:name="O_1292903"/>
      <w:bookmarkEnd w:id="10"/>
      <w:r w:rsidRPr="00801595">
        <w:t>Performance Evidence</w:t>
      </w:r>
    </w:p>
    <w:p w:rsidR="00000000" w:rsidRPr="00801595" w:rsidP="004A5D03">
      <w:pPr>
        <w:pStyle w:val="BodyText"/>
      </w:pPr>
      <w:r w:rsidRPr="00801595">
        <w:t xml:space="preserve">To demonstrate competency, a candidate must meet the performance criteria of this unit by colour-matching a minimum of four previously-painted samples: </w:t>
      </w:r>
    </w:p>
    <w:p w:rsidR="00000000" w:rsidRPr="00801595" w:rsidP="00801595">
      <w:pPr>
        <w:pStyle w:val="ListBullet"/>
      </w:pPr>
      <w:r w:rsidRPr="00801595">
        <w:t>two different solvent-based paints</w:t>
      </w:r>
    </w:p>
    <w:p w:rsidR="00000000" w:rsidRPr="00801595" w:rsidP="00801595">
      <w:pPr>
        <w:pStyle w:val="ListBullet"/>
      </w:pPr>
      <w:r w:rsidRPr="00801595">
        <w:t>two different latex/acrylic paints.</w:t>
      </w:r>
    </w:p>
    <w:p w:rsidR="00000000" w:rsidRPr="00801595" w:rsidP="004A5D03">
      <w:pPr>
        <w:pStyle w:val="BodyText"/>
      </w:pPr>
      <w:r w:rsidRPr="00801595">
        <w:t xml:space="preserve">The above samples must include: </w:t>
      </w:r>
    </w:p>
    <w:p w:rsidR="00000000" w:rsidRPr="00801595" w:rsidP="00801595">
      <w:pPr>
        <w:pStyle w:val="ListBullet"/>
      </w:pPr>
      <w:r w:rsidRPr="00801595">
        <w:t>a minimum of two samples in-situ</w:t>
      </w:r>
    </w:p>
    <w:p w:rsidR="00000000" w:rsidRPr="00801595" w:rsidP="00801595">
      <w:pPr>
        <w:pStyle w:val="ListBullet"/>
      </w:pPr>
      <w:r w:rsidRPr="00801595">
        <w:t>two different sheen levels</w:t>
      </w:r>
    </w:p>
    <w:p w:rsidR="00000000" w:rsidRPr="00801595" w:rsidP="00801595">
      <w:pPr>
        <w:pStyle w:val="ListBullet"/>
      </w:pPr>
      <w:r w:rsidRPr="00801595">
        <w:t>use of a minimum of three colour tints in each colour to be matched.</w:t>
      </w:r>
    </w:p>
    <w:p w:rsidR="00000000" w:rsidRPr="00801595" w:rsidP="004A5D03">
      <w:pPr>
        <w:pStyle w:val="BodyText"/>
      </w:pPr>
      <w:r w:rsidRPr="00801595">
        <w:t>All work must be performed to the standard required in the workplace and must meet the requir</w:t>
      </w:r>
      <w:r w:rsidRPr="00801595">
        <w:t>ements of work health and safety (WHS), Commonwealth and state or territory legislation, manufacturers’ specifications, and environmental plans and obligations.</w:t>
      </w:r>
    </w:p>
    <w:p w:rsidR="00000000" w:rsidRPr="00801595" w:rsidP="00801595">
      <w:pPr>
        <w:pStyle w:val="Heading1"/>
      </w:pPr>
      <w:bookmarkStart w:id="11" w:name="O_1292902"/>
      <w:bookmarkEnd w:id="11"/>
      <w:r w:rsidRPr="00801595">
        <w:t>Knowledge Evidence</w:t>
      </w:r>
    </w:p>
    <w:p w:rsidR="00000000" w:rsidRPr="00801595" w:rsidP="004A5D03">
      <w:pPr>
        <w:pStyle w:val="BodyText"/>
      </w:pPr>
      <w:r w:rsidRPr="00801595">
        <w:t>To be competent in this unit, a candidate must demonstrat</w:t>
      </w:r>
      <w:r w:rsidRPr="00801595">
        <w:t>e knowledge of:</w:t>
      </w:r>
    </w:p>
    <w:p w:rsidR="00000000" w:rsidRPr="00801595" w:rsidP="00801595">
      <w:pPr>
        <w:pStyle w:val="ListBullet"/>
      </w:pPr>
      <w:r w:rsidRPr="00801595">
        <w:t>safety requirements relevant to interpreting and matching specified paint colours</w:t>
      </w:r>
    </w:p>
    <w:p w:rsidR="00000000" w:rsidRPr="00801595" w:rsidP="00801595">
      <w:pPr>
        <w:pStyle w:val="ListBullet"/>
      </w:pPr>
      <w:r w:rsidRPr="00801595">
        <w:t>environmental requirements relevant to interpreting and matching specified paint colours</w:t>
      </w:r>
    </w:p>
    <w:p w:rsidR="00000000" w:rsidRPr="00801595" w:rsidP="00801595">
      <w:pPr>
        <w:pStyle w:val="ListBullet"/>
      </w:pPr>
      <w:r w:rsidRPr="00801595">
        <w:t>colour principles related to monochromatic, complementary, split com</w:t>
      </w:r>
      <w:r w:rsidRPr="00801595">
        <w:t>plementary, analogous and triadic colours</w:t>
      </w:r>
    </w:p>
    <w:p w:rsidR="00000000" w:rsidRPr="00801595" w:rsidP="00801595">
      <w:pPr>
        <w:pStyle w:val="ListBullet"/>
      </w:pPr>
      <w:r w:rsidRPr="00801595">
        <w:t>colour theory related to primary, secondary, tertiary and intermediate colours</w:t>
      </w:r>
    </w:p>
    <w:p w:rsidR="00000000" w:rsidRPr="00801595" w:rsidP="00801595">
      <w:pPr>
        <w:pStyle w:val="ListBullet"/>
      </w:pPr>
      <w:r w:rsidRPr="00801595">
        <w:t>tints, tones, pastels and shades and their effect in relation to colour</w:t>
      </w:r>
    </w:p>
    <w:p w:rsidR="00000000" w:rsidRPr="00801595" w:rsidP="00801595">
      <w:pPr>
        <w:pStyle w:val="ListBullet"/>
      </w:pPr>
      <w:r w:rsidRPr="00801595">
        <w:t>use of paint colourants relevant to interpreting and matching s</w:t>
      </w:r>
      <w:r w:rsidRPr="00801595">
        <w:t>pecified paint colours</w:t>
      </w:r>
    </w:p>
    <w:p w:rsidR="00000000" w:rsidRPr="00801595" w:rsidP="00801595">
      <w:pPr>
        <w:pStyle w:val="ListBullet"/>
      </w:pPr>
      <w:r w:rsidRPr="00801595">
        <w:t>use of tint bases relevant to interpreting and matching specified paint colours</w:t>
      </w:r>
    </w:p>
    <w:p w:rsidR="00000000" w:rsidRPr="00801595" w:rsidP="00801595">
      <w:pPr>
        <w:pStyle w:val="ListBullet"/>
      </w:pPr>
      <w:r w:rsidRPr="00801595">
        <w:t>use of advancing and receding colour schemes relevant to interpreting and matching specified paint colours</w:t>
      </w:r>
    </w:p>
    <w:p w:rsidR="00000000" w:rsidRPr="00801595" w:rsidP="00801595">
      <w:pPr>
        <w:pStyle w:val="ListBullet"/>
      </w:pPr>
      <w:r w:rsidRPr="00801595">
        <w:t>colours used in heritage painting or restorati</w:t>
      </w:r>
      <w:r w:rsidRPr="00801595">
        <w:t>on</w:t>
      </w:r>
    </w:p>
    <w:p w:rsidR="00000000" w:rsidRPr="00801595" w:rsidP="00801595">
      <w:pPr>
        <w:pStyle w:val="ListBullet"/>
      </w:pPr>
      <w:r w:rsidRPr="00801595">
        <w:t>effect, over time, of light on colours</w:t>
      </w:r>
    </w:p>
    <w:p w:rsidR="00000000" w:rsidRPr="00801595" w:rsidP="00801595">
      <w:pPr>
        <w:pStyle w:val="ListBullet"/>
      </w:pPr>
      <w:r w:rsidRPr="00801595">
        <w:t>factors that affect the apparent colour of paint:</w:t>
      </w:r>
    </w:p>
    <w:p w:rsidR="00000000" w:rsidRPr="00801595" w:rsidP="00801595">
      <w:pPr>
        <w:pStyle w:val="ListBullet2"/>
      </w:pPr>
      <w:r w:rsidRPr="00801595">
        <w:t>age and deterioration of painted sample if in-situ</w:t>
      </w:r>
    </w:p>
    <w:p w:rsidR="00000000" w:rsidRPr="00801595" w:rsidP="00801595">
      <w:pPr>
        <w:pStyle w:val="ListBullet2"/>
      </w:pPr>
      <w:r w:rsidRPr="00801595">
        <w:t>colour and opacity of the paint</w:t>
      </w:r>
    </w:p>
    <w:p w:rsidR="00000000" w:rsidRPr="00801595" w:rsidP="00801595">
      <w:pPr>
        <w:pStyle w:val="ListBullet2"/>
      </w:pPr>
      <w:r w:rsidRPr="00801595">
        <w:t>colour considerations regarding durability of colours in exterior locations</w:t>
      </w:r>
    </w:p>
    <w:p w:rsidR="00000000" w:rsidRPr="00801595" w:rsidP="00801595">
      <w:pPr>
        <w:pStyle w:val="ListBullet2"/>
      </w:pPr>
      <w:r w:rsidRPr="00801595">
        <w:t>colour of drapes and other furnishings</w:t>
      </w:r>
    </w:p>
    <w:p w:rsidR="00000000" w:rsidRPr="00801595" w:rsidP="00801595">
      <w:pPr>
        <w:pStyle w:val="ListBullet2"/>
      </w:pPr>
      <w:r w:rsidRPr="00801595">
        <w:t>colour of surface covered by paint</w:t>
      </w:r>
    </w:p>
    <w:p w:rsidR="00000000" w:rsidRPr="00801595" w:rsidP="00801595">
      <w:pPr>
        <w:pStyle w:val="ListBullet2"/>
      </w:pPr>
      <w:r w:rsidRPr="00801595">
        <w:t>gloss level and paint type</w:t>
      </w:r>
    </w:p>
    <w:p w:rsidR="00000000" w:rsidRPr="00801595" w:rsidP="00801595">
      <w:pPr>
        <w:pStyle w:val="ListBullet2"/>
      </w:pPr>
      <w:r w:rsidRPr="00801595">
        <w:t>lighting conditions for paint-matching</w:t>
      </w:r>
    </w:p>
    <w:p w:rsidR="00000000" w:rsidRPr="00801595" w:rsidP="00801595">
      <w:pPr>
        <w:pStyle w:val="ListBullet"/>
      </w:pPr>
      <w:r w:rsidRPr="00801595">
        <w:t>types, characteristics, uses and limitations of tools and equipment:</w:t>
      </w:r>
    </w:p>
    <w:p w:rsidR="00000000" w:rsidRPr="00801595" w:rsidP="00801595">
      <w:pPr>
        <w:pStyle w:val="ListBullet2"/>
      </w:pPr>
      <w:r w:rsidRPr="00801595">
        <w:t>hand-held spectrometers</w:t>
      </w:r>
    </w:p>
    <w:p w:rsidR="00000000" w:rsidRPr="00801595" w:rsidP="00801595">
      <w:pPr>
        <w:pStyle w:val="ListBullet2"/>
      </w:pPr>
      <w:r w:rsidRPr="00801595">
        <w:t>colorant dispenser</w:t>
      </w:r>
    </w:p>
    <w:p w:rsidR="00000000" w:rsidRPr="00801595" w:rsidP="00801595">
      <w:pPr>
        <w:pStyle w:val="ListBullet2"/>
      </w:pPr>
      <w:r w:rsidRPr="00801595">
        <w:t>mi</w:t>
      </w:r>
      <w:r w:rsidRPr="00801595">
        <w:t>xing receptacles</w:t>
      </w:r>
    </w:p>
    <w:p w:rsidR="00000000" w:rsidRPr="00801595" w:rsidP="00801595">
      <w:pPr>
        <w:pStyle w:val="ListBullet2"/>
      </w:pPr>
      <w:r w:rsidRPr="00801595">
        <w:t>paintbrushes</w:t>
      </w:r>
    </w:p>
    <w:p w:rsidR="00000000" w:rsidRPr="00801595" w:rsidP="00801595">
      <w:pPr>
        <w:pStyle w:val="ListBullet2"/>
      </w:pPr>
      <w:r w:rsidRPr="00801595">
        <w:t>stirring implements</w:t>
      </w:r>
    </w:p>
    <w:p w:rsidR="00000000" w:rsidRPr="00801595" w:rsidP="00801595">
      <w:pPr>
        <w:pStyle w:val="ListBullet2"/>
      </w:pPr>
      <w:r w:rsidRPr="00801595">
        <w:t>mechanical paint mixers (shakers)</w:t>
      </w:r>
    </w:p>
    <w:p w:rsidR="00000000" w:rsidRPr="00801595" w:rsidP="00801595">
      <w:pPr>
        <w:pStyle w:val="ListBullet"/>
      </w:pPr>
      <w:r w:rsidRPr="00801595">
        <w:t>use of the colour wheel in paint-matching</w:t>
      </w:r>
    </w:p>
    <w:p w:rsidR="00000000" w:rsidRPr="00801595" w:rsidP="00801595">
      <w:pPr>
        <w:pStyle w:val="ListBullet"/>
      </w:pPr>
      <w:r w:rsidRPr="00801595">
        <w:t>presentation of paint formulas</w:t>
      </w:r>
    </w:p>
    <w:p w:rsidR="00000000" w:rsidRPr="00801595" w:rsidP="00801595">
      <w:pPr>
        <w:pStyle w:val="ListBullet"/>
      </w:pPr>
      <w:r w:rsidRPr="00801595">
        <w:t>quality requirements relevant to matching paint colours.</w:t>
      </w:r>
    </w:p>
    <w:p w:rsidR="00000000" w:rsidRPr="00801595" w:rsidP="00801595">
      <w:pPr>
        <w:pStyle w:val="AllowPageBreak"/>
      </w:pPr>
    </w:p>
    <w:p w:rsidR="00000000" w:rsidRPr="00801595" w:rsidP="00801595">
      <w:pPr>
        <w:pStyle w:val="Heading1"/>
      </w:pPr>
      <w:bookmarkStart w:id="12" w:name="O_1292901"/>
      <w:bookmarkEnd w:id="12"/>
      <w:r w:rsidRPr="00801595">
        <w:t>Assessment Conditions</w:t>
      </w:r>
    </w:p>
    <w:p w:rsidR="00000000" w:rsidRPr="00801595" w:rsidP="004A5D03">
      <w:pPr>
        <w:pStyle w:val="BodyText"/>
      </w:pPr>
      <w:r w:rsidRPr="00801595">
        <w:t xml:space="preserve">Assessors must meet the requirements for assessors contained in the Standards for Registered Training Organisations. </w:t>
      </w:r>
    </w:p>
    <w:p w:rsidR="00000000" w:rsidRPr="00801595" w:rsidP="004A5D03">
      <w:pPr>
        <w:pStyle w:val="BodyText"/>
      </w:pPr>
      <w:r w:rsidRPr="00801595">
        <w:t xml:space="preserve">This unit must be assessed: </w:t>
      </w:r>
    </w:p>
    <w:p w:rsidR="00000000" w:rsidRPr="00801595" w:rsidP="00801595">
      <w:pPr>
        <w:pStyle w:val="ListBullet"/>
      </w:pPr>
      <w:r w:rsidRPr="00801595">
        <w:t>in the workplace or a close simulation of the workplace environment, provided that simulated or project-base</w:t>
      </w:r>
      <w:r w:rsidRPr="00801595">
        <w:t>d assessment techniques replicate construction workplace conditions, materials, activities, responsibilities and procedures.</w:t>
      </w:r>
    </w:p>
    <w:p w:rsidR="00000000" w:rsidRPr="00801595" w:rsidP="00801595">
      <w:pPr>
        <w:pStyle w:val="ListBullet"/>
      </w:pPr>
      <w:r w:rsidRPr="00801595">
        <w:t>using realistic tasks or simulated tasks, relevant specifications and work instructions, standard work practices, safety requiremen</w:t>
      </w:r>
      <w:r w:rsidRPr="00801595">
        <w:t>ts and environmental constraints.</w:t>
      </w:r>
    </w:p>
    <w:p w:rsidR="00000000" w:rsidRPr="00801595" w:rsidP="00801595">
      <w:pPr>
        <w:pStyle w:val="AllowPageBreak"/>
      </w:pPr>
    </w:p>
    <w:p w:rsidR="00000000" w:rsidRPr="00801595" w:rsidP="00801595">
      <w:pPr>
        <w:pStyle w:val="Heading1"/>
      </w:pPr>
      <w:bookmarkStart w:id="13" w:name="O_1292914"/>
      <w:bookmarkEnd w:id="13"/>
      <w:r w:rsidRPr="00801595">
        <w:t>Links</w:t>
      </w:r>
    </w:p>
    <w:p w:rsidR="00000000" w:rsidRPr="00801595" w:rsidP="004A5D03">
      <w:pPr>
        <w:pStyle w:val="BodyText"/>
      </w:pPr>
      <w:r w:rsidRPr="0080159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E256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01595" w:rsidP="00801595"/>
    <w:sectPr w:rsidSect="008015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95" w:rsidRPr="004A5D03" w:rsidP="004A5D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3" w:rsidP="008015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5D03" w:rsidP="008015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A5D03" w:rsidP="008015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95" w:rsidP="008015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5D03">
      <w:t>Approved</w:t>
    </w:r>
    <w:r w:rsidR="004A5D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5D0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5D03">
      <w:rPr>
        <w:noProof/>
      </w:rPr>
      <w:t>4</w:t>
    </w:r>
    <w:r>
      <w:rPr>
        <w:noProof/>
      </w:rPr>
      <w:fldChar w:fldCharType="end"/>
    </w:r>
  </w:p>
  <w:p w:rsidR="00801595" w:rsidP="008015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5D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5D03">
      <w:t>BuildSkills Australia</w:t>
    </w:r>
    <w:r w:rsidR="004A5D03">
      <w:fldChar w:fldCharType="end"/>
    </w:r>
  </w:p>
  <w:p w:rsidR="00801595" w:rsidP="008015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1595" w:rsidRPr="004A5D03" w:rsidP="004A5D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03" w:rsidRPr="002D2AF8" w:rsidP="008015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CPCCPD3025 Match specific paint colours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A5D03" w:rsidP="008015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95" w:rsidRPr="002D2AF8" w:rsidP="008015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5D03">
      <w:t>CPCCPD3025 Match specific paint colours</w:t>
    </w:r>
    <w:r w:rsidR="004A5D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5D03">
      <w:rPr>
        <w:noProof/>
      </w:rPr>
      <w:t>1 March 2025</w:t>
    </w:r>
    <w:r>
      <w:fldChar w:fldCharType="end"/>
    </w:r>
  </w:p>
  <w:p w:rsidR="00801595" w:rsidP="008015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58E9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D825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308C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5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15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15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15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15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15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15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15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15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15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15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1595"/>
  </w:style>
  <w:style w:type="character" w:customStyle="1" w:styleId="Heading1Char">
    <w:name w:val="Heading 1 Char"/>
    <w:basedOn w:val="DefaultParagraphFont"/>
    <w:link w:val="Heading1"/>
    <w:rsid w:val="008015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15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15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15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15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1595"/>
    <w:rPr>
      <w:i/>
    </w:rPr>
  </w:style>
  <w:style w:type="paragraph" w:customStyle="1" w:styleId="SuperHeading">
    <w:name w:val="SuperHeading"/>
    <w:basedOn w:val="Normal"/>
    <w:rsid w:val="008015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15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15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15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15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15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15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15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15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15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15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15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15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15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15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15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15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15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15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15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15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15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1595"/>
    <w:rPr>
      <w:b/>
      <w:spacing w:val="0"/>
    </w:rPr>
  </w:style>
  <w:style w:type="paragraph" w:customStyle="1" w:styleId="SuperTitle">
    <w:name w:val="SuperTitle"/>
    <w:basedOn w:val="Title"/>
    <w:rsid w:val="008015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15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15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15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15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15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15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15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15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15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15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15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15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15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15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1595"/>
  </w:style>
  <w:style w:type="paragraph" w:styleId="TableofFigures">
    <w:name w:val="table of figures"/>
    <w:basedOn w:val="Normal"/>
    <w:next w:val="Normal"/>
    <w:semiHidden/>
    <w:rsid w:val="008015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15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1595"/>
    <w:rPr>
      <w:rFonts w:ascii="Wingdings" w:hAnsi="Wingdings"/>
    </w:rPr>
  </w:style>
  <w:style w:type="paragraph" w:customStyle="1" w:styleId="TableHeading">
    <w:name w:val="Table Heading"/>
    <w:basedOn w:val="HeadingBase"/>
    <w:rsid w:val="008015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1595"/>
    <w:rPr>
      <w:color w:val="0033CC"/>
      <w:u w:val="none"/>
    </w:rPr>
  </w:style>
  <w:style w:type="paragraph" w:customStyle="1" w:styleId="BodyTextRight">
    <w:name w:val="Body Text Right"/>
    <w:basedOn w:val="BodyText"/>
    <w:rsid w:val="008015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15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15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15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15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15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1595"/>
    <w:rPr>
      <w:sz w:val="32"/>
    </w:rPr>
  </w:style>
  <w:style w:type="paragraph" w:customStyle="1" w:styleId="HeadingProcedure">
    <w:name w:val="Heading Procedure"/>
    <w:basedOn w:val="HeadingBase"/>
    <w:next w:val="Normal"/>
    <w:rsid w:val="008015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1595"/>
    <w:pPr>
      <w:spacing w:before="60" w:after="60"/>
    </w:pPr>
  </w:style>
  <w:style w:type="paragraph" w:styleId="ListContinue">
    <w:name w:val="List Continue"/>
    <w:basedOn w:val="List"/>
    <w:rsid w:val="00801595"/>
    <w:pPr>
      <w:ind w:firstLine="0"/>
    </w:pPr>
  </w:style>
  <w:style w:type="paragraph" w:customStyle="1" w:styleId="ListNote">
    <w:name w:val="List Note"/>
    <w:basedOn w:val="List"/>
    <w:rsid w:val="008015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15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15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1595"/>
    <w:rPr>
      <w:rFonts w:ascii="Courier New" w:hAnsi="Courier New"/>
    </w:rPr>
  </w:style>
  <w:style w:type="paragraph" w:customStyle="1" w:styleId="NoteBullet">
    <w:name w:val="Note Bullet"/>
    <w:basedOn w:val="Note"/>
    <w:rsid w:val="008015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15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15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15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15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15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15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1595"/>
    <w:rPr>
      <w:b/>
      <w:smallCaps/>
    </w:rPr>
  </w:style>
  <w:style w:type="paragraph" w:customStyle="1" w:styleId="TableListNumber">
    <w:name w:val="Table List Number"/>
    <w:basedOn w:val="ListNumber"/>
    <w:rsid w:val="008015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15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1595"/>
    <w:pPr>
      <w:numPr>
        <w:numId w:val="9"/>
      </w:numPr>
    </w:pPr>
  </w:style>
  <w:style w:type="paragraph" w:customStyle="1" w:styleId="ListAlpha2">
    <w:name w:val="List Alpha 2"/>
    <w:basedOn w:val="List2"/>
    <w:rsid w:val="00801595"/>
    <w:pPr>
      <w:numPr>
        <w:numId w:val="8"/>
      </w:numPr>
    </w:pPr>
  </w:style>
  <w:style w:type="paragraph" w:styleId="List2">
    <w:name w:val="List 2"/>
    <w:basedOn w:val="BodyText"/>
    <w:rsid w:val="008015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15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15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15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15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15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1595"/>
    <w:pPr>
      <w:numPr>
        <w:numId w:val="4"/>
      </w:numPr>
    </w:pPr>
  </w:style>
  <w:style w:type="paragraph" w:styleId="ListContinue2">
    <w:name w:val="List Continue 2"/>
    <w:basedOn w:val="List2"/>
    <w:rsid w:val="00801595"/>
    <w:pPr>
      <w:ind w:firstLine="0"/>
    </w:pPr>
  </w:style>
  <w:style w:type="paragraph" w:styleId="ListContinue3">
    <w:name w:val="List Continue 3"/>
    <w:basedOn w:val="List3"/>
    <w:rsid w:val="00801595"/>
    <w:pPr>
      <w:ind w:left="1021" w:firstLine="0"/>
    </w:pPr>
  </w:style>
  <w:style w:type="paragraph" w:styleId="ListContinue4">
    <w:name w:val="List Continue 4"/>
    <w:basedOn w:val="List4"/>
    <w:rsid w:val="00801595"/>
    <w:pPr>
      <w:ind w:firstLine="0"/>
    </w:pPr>
  </w:style>
  <w:style w:type="paragraph" w:styleId="ListContinue5">
    <w:name w:val="List Continue 5"/>
    <w:basedOn w:val="List5"/>
    <w:rsid w:val="00801595"/>
    <w:pPr>
      <w:ind w:firstLine="0"/>
    </w:pPr>
  </w:style>
  <w:style w:type="paragraph" w:styleId="ListNumber3">
    <w:name w:val="List Number 3"/>
    <w:basedOn w:val="List3"/>
    <w:rsid w:val="00801595"/>
    <w:pPr>
      <w:numPr>
        <w:numId w:val="5"/>
      </w:numPr>
    </w:pPr>
  </w:style>
  <w:style w:type="paragraph" w:styleId="ListNumber4">
    <w:name w:val="List Number 4"/>
    <w:basedOn w:val="List4"/>
    <w:rsid w:val="00801595"/>
    <w:pPr>
      <w:numPr>
        <w:numId w:val="6"/>
      </w:numPr>
    </w:pPr>
  </w:style>
  <w:style w:type="paragraph" w:styleId="ListNumber5">
    <w:name w:val="List Number 5"/>
    <w:basedOn w:val="List5"/>
    <w:rsid w:val="00801595"/>
    <w:pPr>
      <w:numPr>
        <w:numId w:val="7"/>
      </w:numPr>
    </w:pPr>
  </w:style>
  <w:style w:type="paragraph" w:styleId="BlockText">
    <w:name w:val="Block Text"/>
    <w:basedOn w:val="Normal"/>
    <w:rsid w:val="008015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15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1595"/>
    <w:rPr>
      <w:sz w:val="16"/>
      <w:vertAlign w:val="superscript"/>
    </w:rPr>
  </w:style>
  <w:style w:type="character" w:customStyle="1" w:styleId="Symbols">
    <w:name w:val="Symbols"/>
    <w:basedOn w:val="DefaultParagraphFont"/>
    <w:rsid w:val="00801595"/>
    <w:rPr>
      <w:rFonts w:ascii="Symbol" w:hAnsi="Symbol"/>
    </w:rPr>
  </w:style>
  <w:style w:type="character" w:customStyle="1" w:styleId="MenuOptions">
    <w:name w:val="Menu Options"/>
    <w:basedOn w:val="DefaultParagraphFont"/>
    <w:rsid w:val="008015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1595"/>
    <w:rPr>
      <w:b/>
    </w:rPr>
  </w:style>
  <w:style w:type="character" w:customStyle="1" w:styleId="Underlined">
    <w:name w:val="Underlined"/>
    <w:basedOn w:val="DefaultParagraphFont"/>
    <w:rsid w:val="00801595"/>
    <w:rPr>
      <w:u w:val="single"/>
    </w:rPr>
  </w:style>
  <w:style w:type="paragraph" w:customStyle="1" w:styleId="TableBodyTextRight">
    <w:name w:val="Table Body Text Right"/>
    <w:basedOn w:val="TableBodyText"/>
    <w:rsid w:val="008015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1595"/>
    <w:rPr>
      <w:sz w:val="18"/>
    </w:rPr>
  </w:style>
  <w:style w:type="paragraph" w:customStyle="1" w:styleId="BodySmallRight">
    <w:name w:val="Body Small Right"/>
    <w:basedOn w:val="BodyTextRight"/>
    <w:rsid w:val="00801595"/>
    <w:rPr>
      <w:sz w:val="18"/>
      <w:szCs w:val="18"/>
    </w:rPr>
  </w:style>
  <w:style w:type="paragraph" w:customStyle="1" w:styleId="MarginEdition">
    <w:name w:val="Margin Edition"/>
    <w:basedOn w:val="MarginNote"/>
    <w:rsid w:val="008015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1595"/>
    <w:rPr>
      <w:sz w:val="2"/>
      <w:szCs w:val="2"/>
    </w:rPr>
  </w:style>
  <w:style w:type="character" w:customStyle="1" w:styleId="Small">
    <w:name w:val="Small"/>
    <w:basedOn w:val="DefaultParagraphFont"/>
    <w:rsid w:val="00801595"/>
    <w:rPr>
      <w:sz w:val="16"/>
    </w:rPr>
  </w:style>
  <w:style w:type="paragraph" w:customStyle="1" w:styleId="WideTable">
    <w:name w:val="Wide Table"/>
    <w:basedOn w:val="Normal"/>
    <w:rsid w:val="008015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1595"/>
  </w:style>
  <w:style w:type="paragraph" w:styleId="Quote">
    <w:name w:val="Quote"/>
    <w:basedOn w:val="Heading1"/>
    <w:link w:val="QuoteChar"/>
    <w:qFormat/>
    <w:rsid w:val="008015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15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1595"/>
    <w:pPr>
      <w:pageBreakBefore/>
    </w:pPr>
  </w:style>
  <w:style w:type="paragraph" w:customStyle="1" w:styleId="Border">
    <w:name w:val="Border"/>
    <w:basedOn w:val="Normal"/>
    <w:qFormat/>
    <w:rsid w:val="008015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15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5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5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15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15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15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15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15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1595"/>
    <w:rPr>
      <w:u w:val="single"/>
    </w:rPr>
  </w:style>
  <w:style w:type="character" w:customStyle="1" w:styleId="BoldandItalics">
    <w:name w:val="Bold and Italics"/>
    <w:qFormat/>
    <w:rsid w:val="00801595"/>
    <w:rPr>
      <w:b/>
      <w:i/>
      <w:u w:val="none"/>
    </w:rPr>
  </w:style>
  <w:style w:type="paragraph" w:styleId="BalloonText">
    <w:name w:val="Balloon Text"/>
    <w:basedOn w:val="Normal"/>
    <w:link w:val="BalloonTextChar"/>
    <w:rsid w:val="008015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15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15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15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15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15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1595"/>
    <w:pPr>
      <w:spacing w:before="0" w:after="0"/>
    </w:pPr>
  </w:style>
  <w:style w:type="paragraph" w:customStyle="1" w:styleId="BodyTextBold">
    <w:name w:val="Body Text Bold"/>
    <w:basedOn w:val="BodyText"/>
    <w:qFormat/>
    <w:rsid w:val="00801595"/>
    <w:rPr>
      <w:b/>
    </w:rPr>
  </w:style>
  <w:style w:type="character" w:styleId="Hyperlink">
    <w:name w:val="Hyperlink"/>
    <w:basedOn w:val="DefaultParagraphFont"/>
    <w:uiPriority w:val="99"/>
    <w:unhideWhenUsed/>
    <w:rsid w:val="004A5D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1050</Words>
  <Characters>6594</Characters>
  <Application>Microsoft Office Word</Application>
  <DocSecurity>0</DocSecurity>
  <Lines>219</Lines>
  <Paragraphs>146</Paragraphs>
  <ScaleCrop>false</ScaleCrop>
  <Company>Author-it Software Corporation Ltd.</Company>
  <LinksUpToDate>false</LinksUpToDate>
  <CharactersWithSpaces>7498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CPCCPD3025 Match specific paint colours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2025-03-01T10:43:00Z</dcterms:created>
  <dcterms:modified xsi:type="dcterms:W3CDTF">2025-03-01T10:43:00Z</dcterms:modified>
</cp:coreProperties>
</file>