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062" w:rsidP="004960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CPCCPD3025 Match specific paint colours</w:t>
      </w:r>
      <w:r>
        <w:fldChar w:fldCharType="end"/>
      </w:r>
    </w:p>
    <w:p w:rsidR="00496062" w:rsidP="00496062">
      <w:pPr>
        <w:pStyle w:val="Version"/>
        <w:sectPr w:rsidSect="002E5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2E5998" w:rsidP="002E5998">
      <w:pPr>
        <w:pStyle w:val="SuperHeading"/>
      </w:pPr>
      <w:r w:rsidRPr="002E5998">
        <w:t>Assessment Requirements for CPCCPD3025 Match specific paint colours</w:t>
      </w:r>
    </w:p>
    <w:p w:rsidR="00000000" w:rsidRPr="002E5998" w:rsidP="002E5998">
      <w:pPr>
        <w:pStyle w:val="Heading1"/>
      </w:pPr>
      <w:bookmarkStart w:id="1" w:name="O_1292904"/>
      <w:bookmarkEnd w:id="1"/>
      <w:r w:rsidRPr="002E59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E5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998">
            <w:pPr>
              <w:pStyle w:val="BodyText"/>
              <w:rPr>
                <w:lang w:val="en-NZ"/>
              </w:rPr>
            </w:pPr>
            <w:r w:rsidRPr="002E5998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998">
            <w:pPr>
              <w:pStyle w:val="BodyText"/>
              <w:rPr>
                <w:lang w:val="en-NZ"/>
              </w:rPr>
            </w:pPr>
            <w:r w:rsidRPr="002E5998">
              <w:t>Updated reference to general construction induction training program.</w:t>
            </w:r>
          </w:p>
        </w:tc>
      </w:tr>
      <w:tr w:rsidTr="002E5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998">
            <w:pPr>
              <w:pStyle w:val="BodyText"/>
              <w:rPr>
                <w:lang w:val="en-NZ"/>
              </w:rPr>
            </w:pPr>
            <w:r w:rsidRPr="002E599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998" w:rsidP="002E5998">
            <w:pPr>
              <w:pStyle w:val="BodyText"/>
            </w:pPr>
            <w:r w:rsidRPr="002E5998">
              <w:t>This version first released with CPC Construction, Plumbing and Services Training Package Release 6.4.</w:t>
            </w:r>
          </w:p>
          <w:p w:rsidR="00000000" w:rsidP="002E5998">
            <w:pPr>
              <w:pStyle w:val="BodyText"/>
              <w:rPr>
                <w:lang w:val="en-NZ"/>
              </w:rPr>
            </w:pPr>
            <w:r w:rsidRPr="002E5998">
              <w:t>Correction to Training Package title in the Modification History from CPC Property Services to CPC Construction, Plumbing and Services Training Package R</w:t>
            </w:r>
            <w:r w:rsidRPr="002E5998">
              <w:t>elease 1.</w:t>
            </w:r>
          </w:p>
        </w:tc>
      </w:tr>
      <w:tr w:rsidTr="002E5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998">
            <w:pPr>
              <w:pStyle w:val="BodyText"/>
              <w:rPr>
                <w:lang w:val="en-NZ"/>
              </w:rPr>
            </w:pPr>
            <w:r w:rsidRPr="002E599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998" w:rsidP="002E5998">
            <w:pPr>
              <w:pStyle w:val="BodyText"/>
            </w:pPr>
            <w:r w:rsidRPr="002E5998">
              <w:t>This version first released with CPC Construction, Plumbing and Services Training Package Release 5.1.</w:t>
            </w:r>
          </w:p>
          <w:p w:rsidR="00000000" w:rsidP="002E5998">
            <w:pPr>
              <w:pStyle w:val="BodyText"/>
              <w:rPr>
                <w:lang w:val="en-NZ"/>
              </w:rPr>
            </w:pPr>
            <w:r w:rsidRPr="002E5998">
              <w:t>Correction to unit mapping.</w:t>
            </w:r>
          </w:p>
        </w:tc>
      </w:tr>
      <w:tr w:rsidTr="002E59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5998">
            <w:pPr>
              <w:pStyle w:val="BodyText"/>
              <w:rPr>
                <w:lang w:val="en-NZ"/>
              </w:rPr>
            </w:pPr>
            <w:r w:rsidRPr="002E599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5998" w:rsidP="002E5998">
            <w:pPr>
              <w:pStyle w:val="BodyText"/>
            </w:pPr>
            <w:r w:rsidRPr="002E5998">
              <w:t>This version first released with CPC Property Services Training Package Release 5.0.</w:t>
            </w:r>
          </w:p>
          <w:p w:rsidR="00000000" w:rsidRPr="002E5998" w:rsidP="002E5998">
            <w:pPr>
              <w:pStyle w:val="BodyText"/>
            </w:pPr>
            <w:r w:rsidRPr="002E5998">
              <w:t>Supersed</w:t>
            </w:r>
            <w:r w:rsidRPr="002E5998">
              <w:t>es and is equivalent to CPCCPD3025A Match specific paint colours.  Minor title change.  Updated to meet to the Standards for Training Packages 2012.</w:t>
            </w:r>
          </w:p>
        </w:tc>
      </w:tr>
    </w:tbl>
    <w:p w:rsidR="00000000" w:rsidRPr="002E5998" w:rsidP="002E5998">
      <w:pPr>
        <w:pStyle w:val="BodyText"/>
      </w:pPr>
    </w:p>
    <w:p w:rsidR="00000000" w:rsidRPr="002E5998" w:rsidP="002E5998">
      <w:pPr>
        <w:pStyle w:val="AllowPageBreak"/>
      </w:pPr>
    </w:p>
    <w:p w:rsidR="00000000" w:rsidRPr="002E5998" w:rsidP="002E5998">
      <w:pPr>
        <w:pStyle w:val="Heading1"/>
      </w:pPr>
      <w:bookmarkStart w:id="2" w:name="O_1292903"/>
      <w:bookmarkEnd w:id="2"/>
      <w:r w:rsidRPr="002E5998">
        <w:t>Performance Evidence</w:t>
      </w:r>
    </w:p>
    <w:p w:rsidR="00000000" w:rsidRPr="002E5998" w:rsidP="00496062">
      <w:pPr>
        <w:pStyle w:val="BodyText"/>
      </w:pPr>
      <w:r w:rsidRPr="002E5998">
        <w:t xml:space="preserve">To demonstrate competency, a candidate must meet the performance </w:t>
      </w:r>
      <w:r w:rsidRPr="002E5998">
        <w:t xml:space="preserve">criteria of this unit by colour-matching a minimum of four previously-painted samples: </w:t>
      </w:r>
    </w:p>
    <w:p w:rsidR="00000000" w:rsidRPr="002E5998" w:rsidP="002E5998">
      <w:pPr>
        <w:pStyle w:val="ListBullet"/>
      </w:pPr>
      <w:r w:rsidRPr="002E5998">
        <w:t>two different solvent-based paints</w:t>
      </w:r>
    </w:p>
    <w:p w:rsidR="00000000" w:rsidRPr="002E5998" w:rsidP="002E5998">
      <w:pPr>
        <w:pStyle w:val="ListBullet"/>
      </w:pPr>
      <w:r w:rsidRPr="002E5998">
        <w:t>two different latex/acrylic paints.</w:t>
      </w:r>
    </w:p>
    <w:p w:rsidR="00000000" w:rsidRPr="002E5998" w:rsidP="00496062">
      <w:pPr>
        <w:pStyle w:val="BodyText"/>
      </w:pPr>
      <w:r w:rsidRPr="002E5998">
        <w:t xml:space="preserve">The above samples must include: </w:t>
      </w:r>
    </w:p>
    <w:p w:rsidR="00000000" w:rsidRPr="002E5998" w:rsidP="002E5998">
      <w:pPr>
        <w:pStyle w:val="ListBullet"/>
      </w:pPr>
      <w:r w:rsidRPr="002E5998">
        <w:t>a minimum of two samples in-situ</w:t>
      </w:r>
    </w:p>
    <w:p w:rsidR="00000000" w:rsidRPr="002E5998" w:rsidP="002E5998">
      <w:pPr>
        <w:pStyle w:val="ListBullet"/>
      </w:pPr>
      <w:r w:rsidRPr="002E5998">
        <w:t>two different sheen levels</w:t>
      </w:r>
    </w:p>
    <w:p w:rsidR="00000000" w:rsidRPr="002E5998" w:rsidP="002E5998">
      <w:pPr>
        <w:pStyle w:val="ListBullet"/>
      </w:pPr>
      <w:r w:rsidRPr="002E5998">
        <w:t>use of a minimum of three colour tints in each colour to be matched.</w:t>
      </w:r>
    </w:p>
    <w:p w:rsidR="00000000" w:rsidRPr="002E5998" w:rsidP="00496062">
      <w:pPr>
        <w:pStyle w:val="BodyText"/>
      </w:pPr>
      <w:r w:rsidRPr="002E5998">
        <w:t>All work must be performed to the standard required in the workplace and must meet the requirements of work health and safety (WHS), Commonwealth and state or territory legislation, manuf</w:t>
      </w:r>
      <w:r w:rsidRPr="002E5998">
        <w:t>acturers’ specifications, and environmental plans and obligations.</w:t>
      </w:r>
    </w:p>
    <w:p w:rsidR="00000000" w:rsidRPr="002E5998" w:rsidP="002E5998">
      <w:pPr>
        <w:pStyle w:val="Heading1"/>
      </w:pPr>
      <w:bookmarkStart w:id="3" w:name="O_1292902"/>
      <w:bookmarkEnd w:id="3"/>
      <w:r w:rsidRPr="002E5998">
        <w:t>Knowledge Evidence</w:t>
      </w:r>
    </w:p>
    <w:p w:rsidR="00000000" w:rsidRPr="002E5998" w:rsidP="00496062">
      <w:pPr>
        <w:pStyle w:val="BodyText"/>
      </w:pPr>
      <w:r w:rsidRPr="002E5998">
        <w:t>To be competent in this unit, a candidate must demonstrate knowledge of:</w:t>
      </w:r>
    </w:p>
    <w:p w:rsidR="00000000" w:rsidRPr="002E5998" w:rsidP="002E5998">
      <w:pPr>
        <w:pStyle w:val="ListBullet"/>
      </w:pPr>
      <w:r w:rsidRPr="002E5998">
        <w:t>safety requirements relevant to interpreting and matching specified paint col</w:t>
      </w:r>
      <w:r w:rsidRPr="002E5998">
        <w:t>ours</w:t>
      </w:r>
    </w:p>
    <w:p w:rsidR="00000000" w:rsidRPr="002E5998" w:rsidP="002E5998">
      <w:pPr>
        <w:pStyle w:val="ListBullet"/>
      </w:pPr>
      <w:r w:rsidRPr="002E5998">
        <w:t>environmental requirements relevant to interpreting and matching specified paint colours</w:t>
      </w:r>
    </w:p>
    <w:p w:rsidR="00000000" w:rsidRPr="002E5998" w:rsidP="002E5998">
      <w:pPr>
        <w:pStyle w:val="ListBullet"/>
      </w:pPr>
      <w:r w:rsidRPr="002E5998">
        <w:t>colour principles related to monochromatic, complementary, split complementary, analogous and triadic colours</w:t>
      </w:r>
    </w:p>
    <w:p w:rsidR="00000000" w:rsidRPr="002E5998" w:rsidP="002E5998">
      <w:pPr>
        <w:pStyle w:val="ListBullet"/>
      </w:pPr>
      <w:r w:rsidRPr="002E5998">
        <w:t>colour theory related to primary, secondary, tertiar</w:t>
      </w:r>
      <w:r w:rsidRPr="002E5998">
        <w:t>y and intermediate colours</w:t>
      </w:r>
    </w:p>
    <w:p w:rsidR="00000000" w:rsidRPr="002E5998" w:rsidP="002E5998">
      <w:pPr>
        <w:pStyle w:val="ListBullet"/>
      </w:pPr>
      <w:r w:rsidRPr="002E5998">
        <w:t>tints, tones, pastels and shades and their effect in relation to colour</w:t>
      </w:r>
    </w:p>
    <w:p w:rsidR="00000000" w:rsidRPr="002E5998" w:rsidP="002E5998">
      <w:pPr>
        <w:pStyle w:val="ListBullet"/>
      </w:pPr>
      <w:r w:rsidRPr="002E5998">
        <w:t>use of paint colourants relevant to interpreting and matching specified paint colours</w:t>
      </w:r>
    </w:p>
    <w:p w:rsidR="00000000" w:rsidRPr="002E5998" w:rsidP="002E5998">
      <w:pPr>
        <w:pStyle w:val="ListBullet"/>
      </w:pPr>
      <w:r w:rsidRPr="002E5998">
        <w:t>use of tint bases relevant to interpreting and matching specified paint</w:t>
      </w:r>
      <w:r w:rsidRPr="002E5998">
        <w:t xml:space="preserve"> colours</w:t>
      </w:r>
    </w:p>
    <w:p w:rsidR="00000000" w:rsidRPr="002E5998" w:rsidP="002E5998">
      <w:pPr>
        <w:pStyle w:val="ListBullet"/>
      </w:pPr>
      <w:r w:rsidRPr="002E5998">
        <w:t>use of advancing and receding colour schemes relevant to interpreting and matching specified paint colours</w:t>
      </w:r>
    </w:p>
    <w:p w:rsidR="00000000" w:rsidRPr="002E5998" w:rsidP="002E5998">
      <w:pPr>
        <w:pStyle w:val="ListBullet"/>
      </w:pPr>
      <w:r w:rsidRPr="002E5998">
        <w:t>colours used in heritage painting or restoration</w:t>
      </w:r>
    </w:p>
    <w:p w:rsidR="00000000" w:rsidRPr="002E5998" w:rsidP="002E5998">
      <w:pPr>
        <w:pStyle w:val="ListBullet"/>
      </w:pPr>
      <w:r w:rsidRPr="002E5998">
        <w:t>effect, over time, of light on colours</w:t>
      </w:r>
    </w:p>
    <w:p w:rsidR="00000000" w:rsidRPr="002E5998" w:rsidP="002E5998">
      <w:pPr>
        <w:pStyle w:val="ListBullet"/>
      </w:pPr>
      <w:r w:rsidRPr="002E5998">
        <w:t>factors that affect the apparent colour of paint:</w:t>
      </w:r>
    </w:p>
    <w:p w:rsidR="00000000" w:rsidRPr="002E5998" w:rsidP="002E5998">
      <w:pPr>
        <w:pStyle w:val="ListBullet2"/>
      </w:pPr>
      <w:r w:rsidRPr="002E5998">
        <w:t>age and deterioration of painted sample if in-situ</w:t>
      </w:r>
    </w:p>
    <w:p w:rsidR="00000000" w:rsidRPr="002E5998" w:rsidP="002E5998">
      <w:pPr>
        <w:pStyle w:val="ListBullet2"/>
      </w:pPr>
      <w:r w:rsidRPr="002E5998">
        <w:t>colour and opacity of the paint</w:t>
      </w:r>
    </w:p>
    <w:p w:rsidR="00000000" w:rsidRPr="002E5998" w:rsidP="002E5998">
      <w:pPr>
        <w:pStyle w:val="ListBullet2"/>
      </w:pPr>
      <w:r w:rsidRPr="002E5998">
        <w:t>colour considerations regarding durability of colours in exterior locations</w:t>
      </w:r>
    </w:p>
    <w:p w:rsidR="00000000" w:rsidRPr="002E5998" w:rsidP="002E5998">
      <w:pPr>
        <w:pStyle w:val="ListBullet2"/>
      </w:pPr>
      <w:r w:rsidRPr="002E5998">
        <w:t>colour of drapes and other furnishings</w:t>
      </w:r>
    </w:p>
    <w:p w:rsidR="00000000" w:rsidRPr="002E5998" w:rsidP="002E5998">
      <w:pPr>
        <w:pStyle w:val="ListBullet2"/>
      </w:pPr>
      <w:r w:rsidRPr="002E5998">
        <w:t>colour of surface covered by paint</w:t>
      </w:r>
    </w:p>
    <w:p w:rsidR="00000000" w:rsidRPr="002E5998" w:rsidP="002E5998">
      <w:pPr>
        <w:pStyle w:val="ListBullet2"/>
      </w:pPr>
      <w:r w:rsidRPr="002E5998">
        <w:t>gloss level and paint t</w:t>
      </w:r>
      <w:r w:rsidRPr="002E5998">
        <w:t>ype</w:t>
      </w:r>
    </w:p>
    <w:p w:rsidR="00000000" w:rsidRPr="002E5998" w:rsidP="002E5998">
      <w:pPr>
        <w:pStyle w:val="ListBullet2"/>
      </w:pPr>
      <w:r w:rsidRPr="002E5998">
        <w:t>lighting conditions for paint-matching</w:t>
      </w:r>
    </w:p>
    <w:p w:rsidR="00000000" w:rsidRPr="002E5998" w:rsidP="002E5998">
      <w:pPr>
        <w:pStyle w:val="ListBullet"/>
      </w:pPr>
      <w:r w:rsidRPr="002E5998">
        <w:t>types, characteristics, uses and limitations of tools and equipment:</w:t>
      </w:r>
    </w:p>
    <w:p w:rsidR="00000000" w:rsidRPr="002E5998" w:rsidP="002E5998">
      <w:pPr>
        <w:pStyle w:val="ListBullet2"/>
      </w:pPr>
      <w:r w:rsidRPr="002E5998">
        <w:t>hand-held spectrometers</w:t>
      </w:r>
    </w:p>
    <w:p w:rsidR="00000000" w:rsidRPr="002E5998" w:rsidP="002E5998">
      <w:pPr>
        <w:pStyle w:val="ListBullet2"/>
      </w:pPr>
      <w:r w:rsidRPr="002E5998">
        <w:t>colorant dispenser</w:t>
      </w:r>
    </w:p>
    <w:p w:rsidR="00000000" w:rsidRPr="002E5998" w:rsidP="002E5998">
      <w:pPr>
        <w:pStyle w:val="ListBullet2"/>
      </w:pPr>
      <w:r w:rsidRPr="002E5998">
        <w:t>mixing receptacles</w:t>
      </w:r>
    </w:p>
    <w:p w:rsidR="00000000" w:rsidRPr="002E5998" w:rsidP="002E5998">
      <w:pPr>
        <w:pStyle w:val="ListBullet2"/>
      </w:pPr>
      <w:r w:rsidRPr="002E5998">
        <w:t>paintbrushes</w:t>
      </w:r>
    </w:p>
    <w:p w:rsidR="00000000" w:rsidRPr="002E5998" w:rsidP="002E5998">
      <w:pPr>
        <w:pStyle w:val="ListBullet2"/>
      </w:pPr>
      <w:r w:rsidRPr="002E5998">
        <w:t>stirring implements</w:t>
      </w:r>
    </w:p>
    <w:p w:rsidR="00000000" w:rsidRPr="002E5998" w:rsidP="002E5998">
      <w:pPr>
        <w:pStyle w:val="ListBullet2"/>
      </w:pPr>
      <w:r w:rsidRPr="002E5998">
        <w:t>mechanical paint mixers (shakers)</w:t>
      </w:r>
    </w:p>
    <w:p w:rsidR="00000000" w:rsidRPr="002E5998" w:rsidP="002E5998">
      <w:pPr>
        <w:pStyle w:val="ListBullet"/>
      </w:pPr>
      <w:r w:rsidRPr="002E5998">
        <w:t>use of the colour wheel in paint-matching</w:t>
      </w:r>
    </w:p>
    <w:p w:rsidR="00000000" w:rsidRPr="002E5998" w:rsidP="002E5998">
      <w:pPr>
        <w:pStyle w:val="ListBullet"/>
      </w:pPr>
      <w:r w:rsidRPr="002E5998">
        <w:t>presentation of paint formulas</w:t>
      </w:r>
    </w:p>
    <w:p w:rsidR="00000000" w:rsidRPr="002E5998" w:rsidP="002E5998">
      <w:pPr>
        <w:pStyle w:val="ListBullet"/>
      </w:pPr>
      <w:r w:rsidRPr="002E5998">
        <w:t>quality requirements relevant to matching paint colours.</w:t>
      </w:r>
    </w:p>
    <w:p w:rsidR="00000000" w:rsidRPr="002E5998" w:rsidP="002E5998">
      <w:pPr>
        <w:pStyle w:val="AllowPageBreak"/>
      </w:pPr>
    </w:p>
    <w:p w:rsidR="00000000" w:rsidRPr="002E5998" w:rsidP="002E5998">
      <w:pPr>
        <w:pStyle w:val="Heading1"/>
      </w:pPr>
      <w:bookmarkStart w:id="4" w:name="O_1292901"/>
      <w:bookmarkEnd w:id="4"/>
      <w:r w:rsidRPr="002E5998">
        <w:t>Assessment Conditions</w:t>
      </w:r>
    </w:p>
    <w:p w:rsidR="00000000" w:rsidRPr="002E5998" w:rsidP="00496062">
      <w:pPr>
        <w:pStyle w:val="BodyText"/>
      </w:pPr>
      <w:r w:rsidRPr="002E5998">
        <w:t>Assessors must meet the requirements for assessors contained in the Standards for Reg</w:t>
      </w:r>
      <w:r w:rsidRPr="002E5998">
        <w:t xml:space="preserve">istered Training Organisations. </w:t>
      </w:r>
    </w:p>
    <w:p w:rsidR="00000000" w:rsidRPr="002E5998" w:rsidP="00496062">
      <w:pPr>
        <w:pStyle w:val="BodyText"/>
      </w:pPr>
      <w:r w:rsidRPr="002E5998">
        <w:t xml:space="preserve">This unit must be assessed: </w:t>
      </w:r>
    </w:p>
    <w:p w:rsidR="00000000" w:rsidRPr="002E5998" w:rsidP="002E5998">
      <w:pPr>
        <w:pStyle w:val="ListBullet"/>
      </w:pPr>
      <w:r w:rsidRPr="002E5998">
        <w:t>in the workplace or a close simulation of the workplace environment, provided that simulated or project-based assessment techniques replicate construction workplace conditions, materials, activ</w:t>
      </w:r>
      <w:r w:rsidRPr="002E5998">
        <w:t>ities, responsibilities and procedures.</w:t>
      </w:r>
    </w:p>
    <w:p w:rsidR="00000000" w:rsidRPr="002E5998" w:rsidP="002E5998">
      <w:pPr>
        <w:pStyle w:val="ListBullet"/>
      </w:pPr>
      <w:r w:rsidRPr="002E5998">
        <w:t>using realistic tasks or simulated tasks, relevant specifications and work instructions, standard work practices, safety requirements and environmental constraints.</w:t>
      </w:r>
    </w:p>
    <w:p w:rsidR="00000000" w:rsidRPr="002E5998" w:rsidP="002E5998">
      <w:pPr>
        <w:pStyle w:val="AllowPageBreak"/>
      </w:pPr>
    </w:p>
    <w:p w:rsidR="00000000" w:rsidRPr="002E5998" w:rsidP="002E5998">
      <w:pPr>
        <w:pStyle w:val="Heading1"/>
      </w:pPr>
      <w:bookmarkStart w:id="5" w:name="O_1292914"/>
      <w:bookmarkEnd w:id="5"/>
      <w:r w:rsidRPr="002E5998">
        <w:t>Links</w:t>
      </w:r>
    </w:p>
    <w:p w:rsidR="00000000" w:rsidRPr="002E5998" w:rsidP="00496062">
      <w:pPr>
        <w:pStyle w:val="BodyText"/>
      </w:pPr>
      <w:r w:rsidRPr="002E599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576B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E5998" w:rsidP="002E5998"/>
    <w:sectPr w:rsidSect="002E59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998" w:rsidRPr="00496062" w:rsidP="004960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062" w:rsidP="002E5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062" w:rsidP="002E5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96062" w:rsidP="002E5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0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5998" w:rsidRPr="00496062" w:rsidP="004960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062" w:rsidRPr="002D2AF8" w:rsidP="002E5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CPCCPD3025 Match specific paint colours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96062" w:rsidP="002E5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24B9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E8B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2871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5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5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5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5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5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5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5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5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5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5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5998"/>
  </w:style>
  <w:style w:type="character" w:customStyle="1" w:styleId="Heading1Char">
    <w:name w:val="Heading 1 Char"/>
    <w:basedOn w:val="DefaultParagraphFont"/>
    <w:link w:val="Heading1"/>
    <w:rsid w:val="002E5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5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59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59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59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5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5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5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5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5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5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5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5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5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5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5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5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5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5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5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5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5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5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5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5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59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5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5998"/>
    <w:rPr>
      <w:b/>
      <w:spacing w:val="0"/>
    </w:rPr>
  </w:style>
  <w:style w:type="paragraph" w:customStyle="1" w:styleId="SuperTitle">
    <w:name w:val="SuperTitle"/>
    <w:basedOn w:val="Title"/>
    <w:rsid w:val="002E5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5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5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5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5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5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5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5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5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5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5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59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5998"/>
    <w:rPr>
      <w:i/>
    </w:rPr>
  </w:style>
  <w:style w:type="paragraph" w:styleId="Caption">
    <w:name w:val="caption"/>
    <w:basedOn w:val="BodyText"/>
    <w:next w:val="Normal"/>
    <w:qFormat/>
    <w:rsid w:val="002E5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5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5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5998"/>
  </w:style>
  <w:style w:type="paragraph" w:styleId="TableofFigures">
    <w:name w:val="table of figures"/>
    <w:basedOn w:val="Normal"/>
    <w:next w:val="Normal"/>
    <w:semiHidden/>
    <w:rsid w:val="002E5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59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5998"/>
    <w:rPr>
      <w:rFonts w:ascii="Wingdings" w:hAnsi="Wingdings"/>
    </w:rPr>
  </w:style>
  <w:style w:type="paragraph" w:customStyle="1" w:styleId="TableHeading">
    <w:name w:val="Table Heading"/>
    <w:basedOn w:val="HeadingBase"/>
    <w:rsid w:val="002E5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5998"/>
    <w:rPr>
      <w:color w:val="0033CC"/>
      <w:u w:val="none"/>
    </w:rPr>
  </w:style>
  <w:style w:type="paragraph" w:customStyle="1" w:styleId="BodyTextRight">
    <w:name w:val="Body Text Right"/>
    <w:basedOn w:val="BodyText"/>
    <w:rsid w:val="002E5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5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59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5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5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5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5998"/>
    <w:rPr>
      <w:sz w:val="32"/>
    </w:rPr>
  </w:style>
  <w:style w:type="paragraph" w:customStyle="1" w:styleId="HeadingProcedure">
    <w:name w:val="Heading Procedure"/>
    <w:basedOn w:val="HeadingBase"/>
    <w:next w:val="Normal"/>
    <w:rsid w:val="002E5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5998"/>
    <w:pPr>
      <w:spacing w:before="60" w:after="60"/>
    </w:pPr>
  </w:style>
  <w:style w:type="paragraph" w:styleId="ListContinue">
    <w:name w:val="List Continue"/>
    <w:basedOn w:val="List"/>
    <w:rsid w:val="002E5998"/>
    <w:pPr>
      <w:ind w:firstLine="0"/>
    </w:pPr>
  </w:style>
  <w:style w:type="paragraph" w:customStyle="1" w:styleId="ListNote">
    <w:name w:val="List Note"/>
    <w:basedOn w:val="List"/>
    <w:rsid w:val="002E5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5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5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5998"/>
    <w:rPr>
      <w:rFonts w:ascii="Courier New" w:hAnsi="Courier New"/>
    </w:rPr>
  </w:style>
  <w:style w:type="paragraph" w:customStyle="1" w:styleId="NoteBullet">
    <w:name w:val="Note Bullet"/>
    <w:basedOn w:val="Note"/>
    <w:rsid w:val="002E5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5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5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5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59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5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5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5998"/>
    <w:rPr>
      <w:b/>
      <w:smallCaps/>
    </w:rPr>
  </w:style>
  <w:style w:type="paragraph" w:customStyle="1" w:styleId="TableListNumber">
    <w:name w:val="Table List Number"/>
    <w:basedOn w:val="ListNumber"/>
    <w:rsid w:val="002E5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5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5998"/>
    <w:pPr>
      <w:numPr>
        <w:numId w:val="9"/>
      </w:numPr>
    </w:pPr>
  </w:style>
  <w:style w:type="paragraph" w:customStyle="1" w:styleId="ListAlpha2">
    <w:name w:val="List Alpha 2"/>
    <w:basedOn w:val="List2"/>
    <w:rsid w:val="002E5998"/>
    <w:pPr>
      <w:numPr>
        <w:numId w:val="8"/>
      </w:numPr>
    </w:pPr>
  </w:style>
  <w:style w:type="paragraph" w:styleId="List2">
    <w:name w:val="List 2"/>
    <w:basedOn w:val="BodyText"/>
    <w:rsid w:val="002E5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5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5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5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59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59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5998"/>
    <w:pPr>
      <w:numPr>
        <w:numId w:val="4"/>
      </w:numPr>
    </w:pPr>
  </w:style>
  <w:style w:type="paragraph" w:styleId="ListContinue2">
    <w:name w:val="List Continue 2"/>
    <w:basedOn w:val="List2"/>
    <w:rsid w:val="002E5998"/>
    <w:pPr>
      <w:ind w:firstLine="0"/>
    </w:pPr>
  </w:style>
  <w:style w:type="paragraph" w:styleId="ListContinue3">
    <w:name w:val="List Continue 3"/>
    <w:basedOn w:val="List3"/>
    <w:rsid w:val="002E5998"/>
    <w:pPr>
      <w:ind w:left="1021" w:firstLine="0"/>
    </w:pPr>
  </w:style>
  <w:style w:type="paragraph" w:styleId="ListContinue4">
    <w:name w:val="List Continue 4"/>
    <w:basedOn w:val="List4"/>
    <w:rsid w:val="002E5998"/>
    <w:pPr>
      <w:ind w:firstLine="0"/>
    </w:pPr>
  </w:style>
  <w:style w:type="paragraph" w:styleId="ListContinue5">
    <w:name w:val="List Continue 5"/>
    <w:basedOn w:val="List5"/>
    <w:rsid w:val="002E5998"/>
    <w:pPr>
      <w:ind w:firstLine="0"/>
    </w:pPr>
  </w:style>
  <w:style w:type="paragraph" w:styleId="ListNumber3">
    <w:name w:val="List Number 3"/>
    <w:basedOn w:val="List3"/>
    <w:rsid w:val="002E5998"/>
    <w:pPr>
      <w:numPr>
        <w:numId w:val="5"/>
      </w:numPr>
    </w:pPr>
  </w:style>
  <w:style w:type="paragraph" w:styleId="ListNumber4">
    <w:name w:val="List Number 4"/>
    <w:basedOn w:val="List4"/>
    <w:rsid w:val="002E5998"/>
    <w:pPr>
      <w:numPr>
        <w:numId w:val="6"/>
      </w:numPr>
    </w:pPr>
  </w:style>
  <w:style w:type="paragraph" w:styleId="ListNumber5">
    <w:name w:val="List Number 5"/>
    <w:basedOn w:val="List5"/>
    <w:rsid w:val="002E5998"/>
    <w:pPr>
      <w:numPr>
        <w:numId w:val="7"/>
      </w:numPr>
    </w:pPr>
  </w:style>
  <w:style w:type="paragraph" w:styleId="BlockText">
    <w:name w:val="Block Text"/>
    <w:basedOn w:val="Normal"/>
    <w:rsid w:val="002E5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5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5998"/>
    <w:rPr>
      <w:sz w:val="16"/>
      <w:vertAlign w:val="superscript"/>
    </w:rPr>
  </w:style>
  <w:style w:type="character" w:customStyle="1" w:styleId="Symbols">
    <w:name w:val="Symbols"/>
    <w:basedOn w:val="DefaultParagraphFont"/>
    <w:rsid w:val="002E5998"/>
    <w:rPr>
      <w:rFonts w:ascii="Symbol" w:hAnsi="Symbol"/>
    </w:rPr>
  </w:style>
  <w:style w:type="character" w:customStyle="1" w:styleId="MenuOptions">
    <w:name w:val="Menu Options"/>
    <w:basedOn w:val="DefaultParagraphFont"/>
    <w:rsid w:val="002E5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5998"/>
    <w:rPr>
      <w:b/>
    </w:rPr>
  </w:style>
  <w:style w:type="character" w:customStyle="1" w:styleId="Underlined">
    <w:name w:val="Underlined"/>
    <w:basedOn w:val="DefaultParagraphFont"/>
    <w:rsid w:val="002E5998"/>
    <w:rPr>
      <w:u w:val="single"/>
    </w:rPr>
  </w:style>
  <w:style w:type="paragraph" w:customStyle="1" w:styleId="TableBodyTextRight">
    <w:name w:val="Table Body Text Right"/>
    <w:basedOn w:val="TableBodyText"/>
    <w:rsid w:val="002E5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5998"/>
    <w:rPr>
      <w:sz w:val="18"/>
    </w:rPr>
  </w:style>
  <w:style w:type="paragraph" w:customStyle="1" w:styleId="BodySmallRight">
    <w:name w:val="Body Small Right"/>
    <w:basedOn w:val="BodyTextRight"/>
    <w:rsid w:val="002E5998"/>
    <w:rPr>
      <w:sz w:val="18"/>
      <w:szCs w:val="18"/>
    </w:rPr>
  </w:style>
  <w:style w:type="paragraph" w:customStyle="1" w:styleId="MarginEdition">
    <w:name w:val="Margin Edition"/>
    <w:basedOn w:val="MarginNote"/>
    <w:rsid w:val="002E5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5998"/>
    <w:rPr>
      <w:sz w:val="2"/>
      <w:szCs w:val="2"/>
    </w:rPr>
  </w:style>
  <w:style w:type="character" w:customStyle="1" w:styleId="Small">
    <w:name w:val="Small"/>
    <w:basedOn w:val="DefaultParagraphFont"/>
    <w:rsid w:val="002E5998"/>
    <w:rPr>
      <w:sz w:val="16"/>
    </w:rPr>
  </w:style>
  <w:style w:type="paragraph" w:customStyle="1" w:styleId="WideTable">
    <w:name w:val="Wide Table"/>
    <w:basedOn w:val="Normal"/>
    <w:rsid w:val="002E5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5998"/>
  </w:style>
  <w:style w:type="paragraph" w:styleId="Quote">
    <w:name w:val="Quote"/>
    <w:basedOn w:val="Heading1"/>
    <w:link w:val="QuoteChar"/>
    <w:qFormat/>
    <w:rsid w:val="002E5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5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5998"/>
    <w:pPr>
      <w:pageBreakBefore/>
    </w:pPr>
  </w:style>
  <w:style w:type="paragraph" w:customStyle="1" w:styleId="Border">
    <w:name w:val="Border"/>
    <w:basedOn w:val="Normal"/>
    <w:qFormat/>
    <w:rsid w:val="002E5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5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5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5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5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5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5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5998"/>
    <w:rPr>
      <w:u w:val="single"/>
    </w:rPr>
  </w:style>
  <w:style w:type="character" w:customStyle="1" w:styleId="BoldandItalics">
    <w:name w:val="Bold and Italics"/>
    <w:qFormat/>
    <w:rsid w:val="002E5998"/>
    <w:rPr>
      <w:b/>
      <w:i/>
      <w:u w:val="none"/>
    </w:rPr>
  </w:style>
  <w:style w:type="paragraph" w:styleId="BalloonText">
    <w:name w:val="Balloon Text"/>
    <w:basedOn w:val="Normal"/>
    <w:link w:val="BalloonTextChar"/>
    <w:rsid w:val="002E5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5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5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5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5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5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5998"/>
    <w:pPr>
      <w:spacing w:before="0" w:after="0"/>
    </w:pPr>
  </w:style>
  <w:style w:type="paragraph" w:customStyle="1" w:styleId="BodyTextBold">
    <w:name w:val="Body Text Bold"/>
    <w:basedOn w:val="BodyText"/>
    <w:qFormat/>
    <w:rsid w:val="002E5998"/>
    <w:rPr>
      <w:b/>
    </w:rPr>
  </w:style>
  <w:style w:type="character" w:styleId="Hyperlink">
    <w:name w:val="Hyperlink"/>
    <w:basedOn w:val="DefaultParagraphFont"/>
    <w:uiPriority w:val="99"/>
    <w:unhideWhenUsed/>
    <w:rsid w:val="004960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538</Words>
  <Characters>3520</Characters>
  <Application>Microsoft Office Word</Application>
  <DocSecurity>0</DocSecurity>
  <Lines>90</Lines>
  <Paragraphs>72</Paragraphs>
  <ScaleCrop>false</ScaleCrop>
  <Company>Author-it Software Corporation Ltd.</Company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CPCCPD3025 Match specific paint colours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