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879" w:rsidP="00ED5879">
      <w:pPr>
        <w:pStyle w:val="Title"/>
      </w:pPr>
      <w:r>
        <w:fldChar w:fldCharType="begin"/>
      </w:r>
      <w:r>
        <w:instrText xml:space="preserve"> TITLE   \* MERGEFORMAT </w:instrText>
      </w:r>
      <w:r>
        <w:fldChar w:fldCharType="separate"/>
      </w:r>
      <w:r>
        <w:t>Assessment Requirements for CPCCPD2012 Use painting and decorating tools and equipment</w:t>
      </w:r>
      <w:r>
        <w:fldChar w:fldCharType="end"/>
      </w:r>
    </w:p>
    <w:p w:rsidR="00ED5879" w:rsidP="00ED5879">
      <w:pPr>
        <w:pStyle w:val="Version"/>
        <w:sectPr w:rsidSect="00432D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32DEA" w:rsidP="00432DEA">
      <w:pPr>
        <w:pStyle w:val="SuperHeading"/>
      </w:pPr>
      <w:r w:rsidRPr="00432DEA">
        <w:t>Assessment Requirements for CPCCPD2012 Use painting and decorating tools and equipment</w:t>
      </w:r>
    </w:p>
    <w:p w:rsidR="00000000" w:rsidRPr="00432DEA" w:rsidP="00432DEA">
      <w:pPr>
        <w:pStyle w:val="Heading1"/>
      </w:pPr>
      <w:bookmarkStart w:id="1" w:name="O_1291045"/>
      <w:bookmarkEnd w:id="1"/>
      <w:r w:rsidRPr="00432DEA">
        <w:t>Modification History</w:t>
      </w:r>
    </w:p>
    <w:tbl>
      <w:tblPr>
        <w:tblW w:w="0" w:type="auto"/>
        <w:tblLayout w:type="fixed"/>
        <w:tblCellMar>
          <w:left w:w="62" w:type="dxa"/>
          <w:right w:w="62" w:type="dxa"/>
        </w:tblCellMar>
        <w:tblLook w:val="0000"/>
      </w:tblPr>
      <w:tblGrid>
        <w:gridCol w:w="1128"/>
        <w:gridCol w:w="7944"/>
      </w:tblGrid>
      <w:tr w:rsidTr="00432DE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32DEA">
            <w:pPr>
              <w:pStyle w:val="BodyText"/>
              <w:rPr>
                <w:lang w:val="en-NZ"/>
              </w:rPr>
            </w:pPr>
            <w:r w:rsidRPr="00432DEA">
              <w:t>Release 3</w:t>
            </w:r>
          </w:p>
        </w:tc>
        <w:tc>
          <w:tcPr>
            <w:tcW w:w="7944" w:type="dxa"/>
            <w:tcBorders>
              <w:top w:val="nil"/>
              <w:left w:val="nil"/>
              <w:bottom w:val="nil"/>
              <w:right w:val="nil"/>
            </w:tcBorders>
            <w:tcMar>
              <w:top w:w="0" w:type="dxa"/>
              <w:left w:w="62" w:type="dxa"/>
              <w:bottom w:w="0" w:type="dxa"/>
              <w:right w:w="62" w:type="dxa"/>
            </w:tcMar>
          </w:tcPr>
          <w:p w:rsidR="00000000" w:rsidP="00432DEA">
            <w:pPr>
              <w:pStyle w:val="BodyText"/>
              <w:rPr>
                <w:lang w:val="en-NZ"/>
              </w:rPr>
            </w:pPr>
            <w:r w:rsidRPr="00432DEA">
              <w:t>Updated reference to general construction induction training program.</w:t>
            </w:r>
          </w:p>
        </w:tc>
      </w:tr>
      <w:tr w:rsidTr="00432DE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32DEA">
            <w:pPr>
              <w:pStyle w:val="BodyText"/>
              <w:rPr>
                <w:lang w:val="en-NZ"/>
              </w:rPr>
            </w:pPr>
            <w:r w:rsidRPr="00432DEA">
              <w:t>Release 2</w:t>
            </w:r>
          </w:p>
        </w:tc>
        <w:tc>
          <w:tcPr>
            <w:tcW w:w="7944" w:type="dxa"/>
            <w:tcBorders>
              <w:top w:val="nil"/>
              <w:left w:val="nil"/>
              <w:bottom w:val="nil"/>
              <w:right w:val="nil"/>
            </w:tcBorders>
            <w:tcMar>
              <w:top w:w="0" w:type="dxa"/>
              <w:left w:w="62" w:type="dxa"/>
              <w:bottom w:w="0" w:type="dxa"/>
              <w:right w:w="62" w:type="dxa"/>
            </w:tcMar>
          </w:tcPr>
          <w:p w:rsidR="00000000" w:rsidRPr="00432DEA" w:rsidP="00432DEA">
            <w:pPr>
              <w:pStyle w:val="BodyText"/>
            </w:pPr>
            <w:r w:rsidRPr="00432DEA">
              <w:t>This version first re</w:t>
            </w:r>
            <w:r w:rsidRPr="00432DEA">
              <w:t>leased with CPC Construction, Plumbing and Services Training Package Release 6.4.</w:t>
            </w:r>
          </w:p>
          <w:p w:rsidR="00000000" w:rsidP="00432DEA">
            <w:pPr>
              <w:pStyle w:val="BodyText"/>
              <w:rPr>
                <w:lang w:val="en-NZ"/>
              </w:rPr>
            </w:pPr>
            <w:r w:rsidRPr="00432DEA">
              <w:t>Correction to Training Package title in the Modification History from CPC Property Services to CPC Construction, Plumbing and Services Training Package.</w:t>
            </w:r>
          </w:p>
        </w:tc>
      </w:tr>
      <w:tr w:rsidTr="00432DE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32DEA">
            <w:pPr>
              <w:pStyle w:val="BodyText"/>
              <w:rPr>
                <w:lang w:val="en-NZ"/>
              </w:rPr>
            </w:pPr>
            <w:r w:rsidRPr="00432DEA">
              <w:t>Release 1</w:t>
            </w:r>
          </w:p>
        </w:tc>
        <w:tc>
          <w:tcPr>
            <w:tcW w:w="7944" w:type="dxa"/>
            <w:tcBorders>
              <w:top w:val="nil"/>
              <w:left w:val="nil"/>
              <w:bottom w:val="nil"/>
              <w:right w:val="nil"/>
            </w:tcBorders>
            <w:tcMar>
              <w:top w:w="0" w:type="dxa"/>
              <w:left w:w="62" w:type="dxa"/>
              <w:bottom w:w="0" w:type="dxa"/>
              <w:right w:w="62" w:type="dxa"/>
            </w:tcMar>
          </w:tcPr>
          <w:p w:rsidR="00000000" w:rsidRPr="00432DEA" w:rsidP="00432DEA">
            <w:pPr>
              <w:pStyle w:val="BodyText"/>
            </w:pPr>
            <w:r w:rsidRPr="00432DEA">
              <w:t>This versi</w:t>
            </w:r>
            <w:r w:rsidRPr="00432DEA">
              <w:t>on first released with CPC Property Services Training Package Release 5.0.</w:t>
            </w:r>
          </w:p>
          <w:p w:rsidR="00000000" w:rsidRPr="00432DEA" w:rsidP="00432DEA">
            <w:pPr>
              <w:pStyle w:val="BodyText"/>
            </w:pPr>
            <w:r w:rsidRPr="00432DEA">
              <w:t>Supersedes and is equivalent to CPCCPD2012A Use painting and decorating tools and equipment.  Updated to meet the Standards for Training Packages 2012.</w:t>
            </w:r>
          </w:p>
        </w:tc>
      </w:tr>
    </w:tbl>
    <w:p w:rsidR="00000000" w:rsidRPr="00432DEA" w:rsidP="00432DEA">
      <w:pPr>
        <w:pStyle w:val="BodyText"/>
      </w:pPr>
    </w:p>
    <w:p w:rsidR="00000000" w:rsidRPr="00432DEA" w:rsidP="00432DEA">
      <w:pPr>
        <w:pStyle w:val="AllowPageBreak"/>
      </w:pPr>
    </w:p>
    <w:p w:rsidR="00000000" w:rsidRPr="00432DEA" w:rsidP="00432DEA">
      <w:pPr>
        <w:pStyle w:val="Heading1"/>
      </w:pPr>
      <w:bookmarkStart w:id="2" w:name="O_1291044"/>
      <w:bookmarkEnd w:id="2"/>
      <w:r w:rsidRPr="00432DEA">
        <w:t>Performa</w:t>
      </w:r>
      <w:r w:rsidRPr="00432DEA">
        <w:t>nce Evidence</w:t>
      </w:r>
    </w:p>
    <w:p w:rsidR="00000000" w:rsidRPr="00432DEA" w:rsidP="00ED5879">
      <w:pPr>
        <w:pStyle w:val="BodyText"/>
      </w:pPr>
      <w:r w:rsidRPr="00432DEA">
        <w:t>To demonstrate competency, a candidate must meet the performance criteria of this unit by using, maintaining and storing all the tools and equipment listed below over the course of three separate painting and decorating tasks, with each task i</w:t>
      </w:r>
      <w:r w:rsidRPr="00432DEA">
        <w:t>nvolving an area of at least six square metres.:</w:t>
      </w:r>
    </w:p>
    <w:p w:rsidR="00000000" w:rsidRPr="00432DEA" w:rsidP="00432DEA">
      <w:pPr>
        <w:pStyle w:val="ListBullet"/>
      </w:pPr>
      <w:r w:rsidRPr="00432DEA">
        <w:t>brushware and accessories</w:t>
      </w:r>
    </w:p>
    <w:p w:rsidR="00000000" w:rsidRPr="00432DEA" w:rsidP="00432DEA">
      <w:pPr>
        <w:pStyle w:val="ListBullet"/>
      </w:pPr>
      <w:r w:rsidRPr="00432DEA">
        <w:t>buckets</w:t>
      </w:r>
    </w:p>
    <w:p w:rsidR="00000000" w:rsidRPr="00432DEA" w:rsidP="00432DEA">
      <w:pPr>
        <w:pStyle w:val="ListBullet"/>
      </w:pPr>
      <w:r w:rsidRPr="00432DEA">
        <w:t>covers and drop sheets</w:t>
      </w:r>
    </w:p>
    <w:p w:rsidR="00000000" w:rsidRPr="00432DEA" w:rsidP="00432DEA">
      <w:pPr>
        <w:pStyle w:val="ListBullet"/>
      </w:pPr>
      <w:r w:rsidRPr="00432DEA">
        <w:t>duster brushes</w:t>
      </w:r>
    </w:p>
    <w:p w:rsidR="00000000" w:rsidRPr="00432DEA" w:rsidP="00432DEA">
      <w:pPr>
        <w:pStyle w:val="ListBullet"/>
      </w:pPr>
      <w:r w:rsidRPr="00432DEA">
        <w:t>filling knives and blades</w:t>
      </w:r>
    </w:p>
    <w:p w:rsidR="00000000" w:rsidRPr="00432DEA" w:rsidP="00432DEA">
      <w:pPr>
        <w:pStyle w:val="ListBullet"/>
      </w:pPr>
      <w:r w:rsidRPr="00432DEA">
        <w:t>hammers and nail punches</w:t>
      </w:r>
    </w:p>
    <w:p w:rsidR="00000000" w:rsidRPr="00432DEA" w:rsidP="00432DEA">
      <w:pPr>
        <w:pStyle w:val="ListBullet"/>
      </w:pPr>
      <w:r w:rsidRPr="00432DEA">
        <w:t>hand sanders</w:t>
      </w:r>
    </w:p>
    <w:p w:rsidR="00000000" w:rsidRPr="00432DEA" w:rsidP="00432DEA">
      <w:pPr>
        <w:pStyle w:val="ListBullet"/>
      </w:pPr>
      <w:r w:rsidRPr="00432DEA">
        <w:t>heat guns</w:t>
      </w:r>
    </w:p>
    <w:p w:rsidR="00000000" w:rsidRPr="00432DEA" w:rsidP="00432DEA">
      <w:pPr>
        <w:pStyle w:val="ListBullet"/>
      </w:pPr>
      <w:r w:rsidRPr="00432DEA">
        <w:t>mechanical sanders, including:</w:t>
      </w:r>
    </w:p>
    <w:p w:rsidR="00000000" w:rsidRPr="00432DEA" w:rsidP="00432DEA">
      <w:pPr>
        <w:pStyle w:val="ListBullet2"/>
      </w:pPr>
      <w:r w:rsidRPr="00432DEA">
        <w:t>belt</w:t>
      </w:r>
    </w:p>
    <w:p w:rsidR="00000000" w:rsidRPr="00432DEA" w:rsidP="00432DEA">
      <w:pPr>
        <w:pStyle w:val="ListBullet2"/>
      </w:pPr>
      <w:r w:rsidRPr="00432DEA">
        <w:t>disc</w:t>
      </w:r>
    </w:p>
    <w:p w:rsidR="00000000" w:rsidRPr="00432DEA" w:rsidP="00432DEA">
      <w:pPr>
        <w:pStyle w:val="ListBullet2"/>
      </w:pPr>
      <w:r w:rsidRPr="00432DEA">
        <w:t>orbital</w:t>
      </w:r>
    </w:p>
    <w:p w:rsidR="00000000" w:rsidRPr="00432DEA" w:rsidP="00432DEA">
      <w:pPr>
        <w:pStyle w:val="ListBullet2"/>
      </w:pPr>
      <w:r w:rsidRPr="00432DEA">
        <w:t>random orbital</w:t>
      </w:r>
    </w:p>
    <w:p w:rsidR="00000000" w:rsidRPr="00432DEA" w:rsidP="00432DEA">
      <w:pPr>
        <w:pStyle w:val="ListBullet"/>
      </w:pPr>
      <w:r w:rsidRPr="00432DEA">
        <w:t>paint pots</w:t>
      </w:r>
    </w:p>
    <w:p w:rsidR="00000000" w:rsidRPr="00432DEA" w:rsidP="00432DEA">
      <w:pPr>
        <w:pStyle w:val="ListBullet"/>
      </w:pPr>
      <w:r w:rsidRPr="00432DEA">
        <w:t>paint stirrers</w:t>
      </w:r>
    </w:p>
    <w:p w:rsidR="00000000" w:rsidRPr="00432DEA" w:rsidP="00432DEA">
      <w:pPr>
        <w:pStyle w:val="ListBullet"/>
      </w:pPr>
      <w:r w:rsidRPr="00432DEA">
        <w:t>putty knives</w:t>
      </w:r>
    </w:p>
    <w:p w:rsidR="00000000" w:rsidRPr="00432DEA" w:rsidP="00432DEA">
      <w:pPr>
        <w:pStyle w:val="ListBullet"/>
      </w:pPr>
      <w:r w:rsidRPr="00432DEA">
        <w:t>roller frames and accessories</w:t>
      </w:r>
    </w:p>
    <w:p w:rsidR="00000000" w:rsidRPr="00432DEA" w:rsidP="00432DEA">
      <w:pPr>
        <w:pStyle w:val="ListBullet"/>
      </w:pPr>
      <w:r w:rsidRPr="00432DEA">
        <w:t>scrapers</w:t>
      </w:r>
    </w:p>
    <w:p w:rsidR="00000000" w:rsidRPr="00432DEA" w:rsidP="00432DEA">
      <w:pPr>
        <w:pStyle w:val="ListBullet"/>
      </w:pPr>
      <w:r w:rsidRPr="00432DEA">
        <w:t>wire brushes</w:t>
      </w:r>
    </w:p>
    <w:p w:rsidR="00000000" w:rsidRPr="00432DEA" w:rsidP="00432DEA">
      <w:pPr>
        <w:pStyle w:val="ListBullet"/>
      </w:pPr>
      <w:r w:rsidRPr="00432DEA">
        <w:t>high-pressure washers</w:t>
      </w:r>
    </w:p>
    <w:p w:rsidR="00000000" w:rsidRPr="00432DEA" w:rsidP="00432DEA">
      <w:pPr>
        <w:pStyle w:val="ListBullet"/>
      </w:pPr>
      <w:r w:rsidRPr="00432DEA">
        <w:t>water treatment units.</w:t>
      </w:r>
    </w:p>
    <w:p w:rsidR="00000000" w:rsidRPr="00432DEA" w:rsidP="00ED5879">
      <w:pPr>
        <w:pStyle w:val="BodyText"/>
      </w:pPr>
      <w:r w:rsidRPr="00432DEA">
        <w:t xml:space="preserve">All work must be </w:t>
      </w:r>
      <w:r w:rsidRPr="00432DEA">
        <w:t>performed to the standard required in the workplace and must meet the requirements of work health and safety (WHS), Commonwealth and state or territory legislation, manufacturers’ specifications, and environmental plans and obligations.</w:t>
      </w:r>
    </w:p>
    <w:p w:rsidR="00000000" w:rsidRPr="00432DEA" w:rsidP="00432DEA">
      <w:pPr>
        <w:pStyle w:val="Heading1"/>
      </w:pPr>
      <w:bookmarkStart w:id="3" w:name="O_1291043"/>
      <w:bookmarkEnd w:id="3"/>
      <w:r w:rsidRPr="00432DEA">
        <w:t>Knowledge Evidence</w:t>
      </w:r>
    </w:p>
    <w:p w:rsidR="00000000" w:rsidRPr="00432DEA" w:rsidP="00ED5879">
      <w:pPr>
        <w:pStyle w:val="BodyText"/>
      </w:pPr>
      <w:r w:rsidRPr="00432DEA">
        <w:t>To be competent in this unit, a candidate must demonstrate knowledge of:</w:t>
      </w:r>
    </w:p>
    <w:p w:rsidR="00000000" w:rsidRPr="00432DEA" w:rsidP="00432DEA">
      <w:pPr>
        <w:pStyle w:val="ListBullet"/>
      </w:pPr>
      <w:r w:rsidRPr="00432DEA">
        <w:t>safety requirements relevant to using painting and decorating tools and equipment</w:t>
      </w:r>
    </w:p>
    <w:p w:rsidR="00000000" w:rsidRPr="00432DEA" w:rsidP="00432DEA">
      <w:pPr>
        <w:pStyle w:val="ListBullet"/>
      </w:pPr>
      <w:r w:rsidRPr="00432DEA">
        <w:t>environmental requirements relevant to using painting and decorating tools and eq</w:t>
      </w:r>
      <w:r w:rsidRPr="00432DEA">
        <w:t>uipment</w:t>
      </w:r>
    </w:p>
    <w:p w:rsidR="00000000" w:rsidRPr="00432DEA" w:rsidP="00432DEA">
      <w:pPr>
        <w:pStyle w:val="ListBullet"/>
      </w:pPr>
      <w:r w:rsidRPr="00432DEA">
        <w:t>types, characteristics, uses and limitations of painting and decorating hand tools, power tools and equipment, including:</w:t>
      </w:r>
    </w:p>
    <w:p w:rsidR="00000000" w:rsidRPr="00432DEA" w:rsidP="00432DEA">
      <w:pPr>
        <w:pStyle w:val="ListBullet2"/>
      </w:pPr>
      <w:r w:rsidRPr="00432DEA">
        <w:t>brushware and accessories</w:t>
      </w:r>
    </w:p>
    <w:p w:rsidR="00000000" w:rsidRPr="00432DEA" w:rsidP="00432DEA">
      <w:pPr>
        <w:pStyle w:val="ListBullet2"/>
      </w:pPr>
      <w:r w:rsidRPr="00432DEA">
        <w:t>buckets</w:t>
      </w:r>
    </w:p>
    <w:p w:rsidR="00000000" w:rsidRPr="00432DEA" w:rsidP="00432DEA">
      <w:pPr>
        <w:pStyle w:val="ListBullet2"/>
      </w:pPr>
      <w:r w:rsidRPr="00432DEA">
        <w:t>covers and drop sheets</w:t>
      </w:r>
    </w:p>
    <w:p w:rsidR="00000000" w:rsidRPr="00432DEA" w:rsidP="00432DEA">
      <w:pPr>
        <w:pStyle w:val="ListBullet2"/>
      </w:pPr>
      <w:r w:rsidRPr="00432DEA">
        <w:t>duster brushes</w:t>
      </w:r>
    </w:p>
    <w:p w:rsidR="00000000" w:rsidRPr="00432DEA" w:rsidP="00432DEA">
      <w:pPr>
        <w:pStyle w:val="ListBullet2"/>
      </w:pPr>
      <w:r w:rsidRPr="00432DEA">
        <w:t>filling knives and blades</w:t>
      </w:r>
    </w:p>
    <w:p w:rsidR="00000000" w:rsidRPr="00432DEA" w:rsidP="00432DEA">
      <w:pPr>
        <w:pStyle w:val="ListBullet2"/>
      </w:pPr>
      <w:r w:rsidRPr="00432DEA">
        <w:t>hammers</w:t>
      </w:r>
    </w:p>
    <w:p w:rsidR="00000000" w:rsidRPr="00432DEA" w:rsidP="00432DEA">
      <w:pPr>
        <w:pStyle w:val="ListBullet2"/>
      </w:pPr>
      <w:r w:rsidRPr="00432DEA">
        <w:t>hand sanders</w:t>
      </w:r>
    </w:p>
    <w:p w:rsidR="00000000" w:rsidRPr="00432DEA" w:rsidP="00432DEA">
      <w:pPr>
        <w:pStyle w:val="ListBullet2"/>
      </w:pPr>
      <w:r w:rsidRPr="00432DEA">
        <w:t>heat guns</w:t>
      </w:r>
    </w:p>
    <w:p w:rsidR="00000000" w:rsidRPr="00432DEA" w:rsidP="00432DEA">
      <w:pPr>
        <w:pStyle w:val="ListBullet2"/>
      </w:pPr>
      <w:r w:rsidRPr="00432DEA">
        <w:t>mechanical sanders:</w:t>
      </w:r>
    </w:p>
    <w:p w:rsidR="00000000" w:rsidRPr="00432DEA" w:rsidP="00432DEA">
      <w:pPr>
        <w:pStyle w:val="ListBullet3"/>
      </w:pPr>
      <w:r w:rsidRPr="00432DEA">
        <w:t>belt</w:t>
      </w:r>
    </w:p>
    <w:p w:rsidR="00000000" w:rsidRPr="00432DEA" w:rsidP="00432DEA">
      <w:pPr>
        <w:pStyle w:val="ListBullet3"/>
      </w:pPr>
      <w:r w:rsidRPr="00432DEA">
        <w:t>disc</w:t>
      </w:r>
    </w:p>
    <w:p w:rsidR="00000000" w:rsidRPr="00432DEA" w:rsidP="00432DEA">
      <w:pPr>
        <w:pStyle w:val="ListBullet3"/>
      </w:pPr>
      <w:r w:rsidRPr="00432DEA">
        <w:t>orbital</w:t>
      </w:r>
    </w:p>
    <w:p w:rsidR="00000000" w:rsidRPr="00432DEA" w:rsidP="00432DEA">
      <w:pPr>
        <w:pStyle w:val="ListBullet3"/>
      </w:pPr>
      <w:r w:rsidRPr="00432DEA">
        <w:t>random orbital</w:t>
      </w:r>
    </w:p>
    <w:p w:rsidR="00000000" w:rsidRPr="00432DEA" w:rsidP="00432DEA">
      <w:pPr>
        <w:pStyle w:val="ListBullet2"/>
      </w:pPr>
      <w:r w:rsidRPr="00432DEA">
        <w:t>nail punches</w:t>
      </w:r>
    </w:p>
    <w:p w:rsidR="00000000" w:rsidRPr="00432DEA" w:rsidP="00432DEA">
      <w:pPr>
        <w:pStyle w:val="ListBullet2"/>
      </w:pPr>
      <w:r w:rsidRPr="00432DEA">
        <w:t xml:space="preserve">paint pots </w:t>
      </w:r>
    </w:p>
    <w:p w:rsidR="00000000" w:rsidRPr="00432DEA" w:rsidP="00432DEA">
      <w:pPr>
        <w:pStyle w:val="ListBullet2"/>
      </w:pPr>
      <w:r w:rsidRPr="00432DEA">
        <w:t>paint stirrers</w:t>
      </w:r>
    </w:p>
    <w:p w:rsidR="00000000" w:rsidRPr="00432DEA" w:rsidP="00432DEA">
      <w:pPr>
        <w:pStyle w:val="ListBullet2"/>
      </w:pPr>
      <w:r w:rsidRPr="00432DEA">
        <w:t>putty knives</w:t>
      </w:r>
    </w:p>
    <w:p w:rsidR="00000000" w:rsidRPr="00432DEA" w:rsidP="00432DEA">
      <w:pPr>
        <w:pStyle w:val="ListBullet2"/>
      </w:pPr>
      <w:r w:rsidRPr="00432DEA">
        <w:t>roller frames and accessories</w:t>
      </w:r>
    </w:p>
    <w:p w:rsidR="00000000" w:rsidRPr="00432DEA" w:rsidP="00432DEA">
      <w:pPr>
        <w:pStyle w:val="ListBullet2"/>
      </w:pPr>
      <w:r w:rsidRPr="00432DEA">
        <w:t>scrapers</w:t>
      </w:r>
    </w:p>
    <w:p w:rsidR="00000000" w:rsidRPr="00432DEA" w:rsidP="00432DEA">
      <w:pPr>
        <w:pStyle w:val="ListBullet2"/>
      </w:pPr>
      <w:r w:rsidRPr="00432DEA">
        <w:t>wire brushes</w:t>
      </w:r>
    </w:p>
    <w:p w:rsidR="00000000" w:rsidRPr="00432DEA" w:rsidP="00432DEA">
      <w:pPr>
        <w:pStyle w:val="ListBullet2"/>
      </w:pPr>
      <w:r w:rsidRPr="00432DEA">
        <w:t>high-pressure washers</w:t>
      </w:r>
    </w:p>
    <w:p w:rsidR="00000000" w:rsidRPr="00432DEA" w:rsidP="00432DEA">
      <w:pPr>
        <w:pStyle w:val="ListBullet2"/>
      </w:pPr>
      <w:r w:rsidRPr="00432DEA">
        <w:t>water treatment units</w:t>
      </w:r>
    </w:p>
    <w:p w:rsidR="00000000" w:rsidRPr="00432DEA" w:rsidP="00432DEA">
      <w:pPr>
        <w:pStyle w:val="ListBullet2"/>
      </w:pPr>
      <w:r w:rsidRPr="00432DEA">
        <w:t>dust extraction units.</w:t>
      </w:r>
    </w:p>
    <w:p w:rsidR="00000000" w:rsidRPr="00432DEA" w:rsidP="00432DEA">
      <w:pPr>
        <w:pStyle w:val="AllowPageBreak"/>
      </w:pPr>
    </w:p>
    <w:p w:rsidR="00000000" w:rsidRPr="00432DEA" w:rsidP="00432DEA">
      <w:pPr>
        <w:pStyle w:val="Heading1"/>
      </w:pPr>
      <w:bookmarkStart w:id="4" w:name="O_1291042"/>
      <w:bookmarkEnd w:id="4"/>
      <w:r w:rsidRPr="00432DEA">
        <w:t>Assessment Conditions</w:t>
      </w:r>
    </w:p>
    <w:p w:rsidR="00000000" w:rsidRPr="00432DEA" w:rsidP="00ED5879">
      <w:pPr>
        <w:pStyle w:val="BodyText"/>
      </w:pPr>
      <w:r w:rsidRPr="00432DEA">
        <w:t xml:space="preserve">Assessors must meet the requirements for assessors contained in the Standards for Registered Training Organisations. </w:t>
      </w:r>
    </w:p>
    <w:p w:rsidR="00000000" w:rsidRPr="00432DEA" w:rsidP="00ED5879">
      <w:pPr>
        <w:pStyle w:val="BodyText"/>
      </w:pPr>
      <w:r w:rsidRPr="00432DEA">
        <w:t xml:space="preserve">This unit must be assessed: </w:t>
      </w:r>
    </w:p>
    <w:p w:rsidR="00000000" w:rsidRPr="00432DEA" w:rsidP="00432DEA">
      <w:pPr>
        <w:pStyle w:val="ListBullet"/>
      </w:pPr>
      <w:r w:rsidRPr="00432DEA">
        <w:t>in the workplace or a close simulation of the workplace environment, provided that sim</w:t>
      </w:r>
      <w:r w:rsidRPr="00432DEA">
        <w:t>ulated or project-based assessment techniques replicate construction workplace conditions, materials, activities, responsibilities and procedures.</w:t>
      </w:r>
    </w:p>
    <w:p w:rsidR="00000000" w:rsidRPr="00432DEA" w:rsidP="00432DEA">
      <w:pPr>
        <w:pStyle w:val="ListBullet"/>
      </w:pPr>
      <w:r w:rsidRPr="00432DEA">
        <w:t>using realistic tasks or simulated tasks, relevant specifications and work instructions, standard work practices, safety requirements and environmental constraints.</w:t>
      </w:r>
    </w:p>
    <w:p w:rsidR="00000000" w:rsidRPr="00432DEA" w:rsidP="00432DEA">
      <w:pPr>
        <w:pStyle w:val="AllowPageBreak"/>
      </w:pPr>
    </w:p>
    <w:p w:rsidR="00000000" w:rsidRPr="00432DEA" w:rsidP="00432DEA">
      <w:pPr>
        <w:pStyle w:val="Heading1"/>
      </w:pPr>
      <w:bookmarkStart w:id="5" w:name="O_1291055"/>
      <w:bookmarkEnd w:id="5"/>
      <w:r w:rsidRPr="00432DEA">
        <w:t>Links</w:t>
      </w:r>
    </w:p>
    <w:p w:rsidR="00000000" w:rsidRPr="00432DEA" w:rsidP="00ED5879">
      <w:pPr>
        <w:pStyle w:val="BodyText"/>
      </w:pPr>
      <w:r w:rsidRPr="00432DEA">
        <w:t>Companion volumes to this training package are available at the VE</w:t>
      </w:r>
      <w:r w:rsidRPr="00432DEA">
        <w:t xml:space="preserve">TNet website - </w:t>
      </w:r>
      <w:r>
        <w:fldChar w:fldCharType="begin"/>
      </w:r>
      <w:r>
        <w:instrText xml:space="preserve"> HYPERLINK "https://vetnet.gov.au/Pages/TrainingDocs.aspx?q=7e15fa6a-68b8-4097-b099-030a5569b1ad" </w:instrText>
      </w:r>
      <w:r>
        <w:fldChar w:fldCharType="separate"/>
      </w:r>
      <w:r w:rsidRPr="00A307E9">
        <w:rPr>
          <w:rStyle w:val="Hyperlink"/>
        </w:rPr>
        <w:t>https://vetnet.gov.au/Pages/TrainingDocs.aspx?q=7e15fa6a-68b8-4097-b099-030a5569b1ad</w:t>
      </w:r>
      <w:r>
        <w:fldChar w:fldCharType="end"/>
      </w:r>
    </w:p>
    <w:p w:rsidR="00000000" w:rsidRPr="00432DEA" w:rsidP="00432DEA"/>
    <w:sectPr w:rsidSect="00432D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EA" w:rsidRPr="00ED5879" w:rsidP="00ED5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79" w:rsidP="00432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879" w:rsidP="00432D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D5879" w:rsidP="00432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DEA" w:rsidRPr="00ED5879" w:rsidP="00ED5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79" w:rsidRPr="002D2AF8" w:rsidP="00432DEA">
    <w:pPr>
      <w:pStyle w:val="Header"/>
      <w:framePr w:wrap="around"/>
    </w:pPr>
    <w:r>
      <w:fldChar w:fldCharType="begin"/>
    </w:r>
    <w:r>
      <w:instrText xml:space="preserve"> TITLE   \* MERGEFORMAT </w:instrText>
    </w:r>
    <w:r>
      <w:fldChar w:fldCharType="separate"/>
    </w:r>
    <w:r>
      <w:t>Assessment Requirements for CPCCPD2012 Use painting and decorating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D5879" w:rsidP="00432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CF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28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87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DEA"/>
    <w:pPr>
      <w:spacing w:before="360" w:after="60"/>
      <w:outlineLvl w:val="0"/>
    </w:pPr>
    <w:rPr>
      <w:sz w:val="32"/>
    </w:rPr>
  </w:style>
  <w:style w:type="paragraph" w:styleId="Heading2">
    <w:name w:val="heading 2"/>
    <w:basedOn w:val="HeadingBase"/>
    <w:next w:val="BodyText"/>
    <w:link w:val="Heading2Char"/>
    <w:qFormat/>
    <w:rsid w:val="00432DEA"/>
    <w:pPr>
      <w:keepLines/>
      <w:spacing w:before="240" w:after="120"/>
      <w:outlineLvl w:val="1"/>
    </w:pPr>
    <w:rPr>
      <w:sz w:val="28"/>
      <w:szCs w:val="40"/>
    </w:rPr>
  </w:style>
  <w:style w:type="paragraph" w:styleId="Heading3">
    <w:name w:val="heading 3"/>
    <w:basedOn w:val="HeadingBase"/>
    <w:next w:val="BodyText"/>
    <w:link w:val="Heading3Char"/>
    <w:qFormat/>
    <w:rsid w:val="00432DEA"/>
    <w:pPr>
      <w:spacing w:before="180" w:after="120"/>
      <w:outlineLvl w:val="2"/>
    </w:pPr>
    <w:rPr>
      <w:spacing w:val="-10"/>
      <w:kern w:val="32"/>
    </w:rPr>
  </w:style>
  <w:style w:type="paragraph" w:styleId="Heading4">
    <w:name w:val="heading 4"/>
    <w:basedOn w:val="HeadingBase"/>
    <w:next w:val="BodyText"/>
    <w:link w:val="Heading4Char"/>
    <w:qFormat/>
    <w:rsid w:val="00432DEA"/>
    <w:pPr>
      <w:spacing w:before="160" w:after="120"/>
      <w:outlineLvl w:val="3"/>
    </w:pPr>
    <w:rPr>
      <w:sz w:val="22"/>
    </w:rPr>
  </w:style>
  <w:style w:type="paragraph" w:styleId="Heading5">
    <w:name w:val="heading 5"/>
    <w:basedOn w:val="HeadingBase"/>
    <w:next w:val="Normal"/>
    <w:link w:val="Heading5Char"/>
    <w:qFormat/>
    <w:rsid w:val="00432DEA"/>
    <w:pPr>
      <w:spacing w:before="80"/>
      <w:outlineLvl w:val="4"/>
    </w:pPr>
    <w:rPr>
      <w:color w:val="918585"/>
      <w:sz w:val="20"/>
    </w:rPr>
  </w:style>
  <w:style w:type="paragraph" w:styleId="Heading6">
    <w:name w:val="heading 6"/>
    <w:basedOn w:val="HeadingBase"/>
    <w:next w:val="Normal"/>
    <w:link w:val="Heading6Char"/>
    <w:qFormat/>
    <w:rsid w:val="00432DEA"/>
    <w:pPr>
      <w:spacing w:before="60"/>
      <w:outlineLvl w:val="5"/>
    </w:pPr>
    <w:rPr>
      <w:color w:val="918585"/>
      <w:sz w:val="20"/>
    </w:rPr>
  </w:style>
  <w:style w:type="paragraph" w:styleId="Heading7">
    <w:name w:val="heading 7"/>
    <w:basedOn w:val="Normal"/>
    <w:next w:val="Normal"/>
    <w:link w:val="Heading7Char"/>
    <w:qFormat/>
    <w:rsid w:val="00432DEA"/>
    <w:pPr>
      <w:ind w:left="720"/>
      <w:outlineLvl w:val="6"/>
    </w:pPr>
    <w:rPr>
      <w:i/>
    </w:rPr>
  </w:style>
  <w:style w:type="paragraph" w:styleId="Heading8">
    <w:name w:val="heading 8"/>
    <w:basedOn w:val="Normal"/>
    <w:next w:val="Normal"/>
    <w:link w:val="Heading8Char"/>
    <w:qFormat/>
    <w:rsid w:val="00432DEA"/>
    <w:pPr>
      <w:ind w:left="720"/>
      <w:outlineLvl w:val="7"/>
    </w:pPr>
    <w:rPr>
      <w:i/>
    </w:rPr>
  </w:style>
  <w:style w:type="paragraph" w:styleId="Heading9">
    <w:name w:val="heading 9"/>
    <w:basedOn w:val="Normal"/>
    <w:next w:val="Normal"/>
    <w:link w:val="Heading9Char"/>
    <w:qFormat/>
    <w:rsid w:val="00432DEA"/>
    <w:pPr>
      <w:ind w:left="720"/>
      <w:outlineLvl w:val="8"/>
    </w:pPr>
    <w:rPr>
      <w:i/>
    </w:rPr>
  </w:style>
  <w:style w:type="character" w:default="1" w:styleId="DefaultParagraphFont">
    <w:name w:val="Default Paragraph Font"/>
    <w:uiPriority w:val="1"/>
    <w:unhideWhenUsed/>
    <w:rsid w:val="00432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DEA"/>
  </w:style>
  <w:style w:type="character" w:customStyle="1" w:styleId="Heading1Char">
    <w:name w:val="Heading 1 Char"/>
    <w:basedOn w:val="DefaultParagraphFont"/>
    <w:link w:val="Heading1"/>
    <w:rsid w:val="00432DEA"/>
    <w:rPr>
      <w:rFonts w:ascii="Times New Roman" w:eastAsia="Times New Roman" w:hAnsi="Times New Roman" w:cs="Times New Roman"/>
      <w:b/>
      <w:sz w:val="32"/>
      <w:szCs w:val="20"/>
      <w:lang w:eastAsia="en-US"/>
    </w:rPr>
  </w:style>
  <w:style w:type="paragraph" w:styleId="BodyText">
    <w:name w:val="Body Text"/>
    <w:basedOn w:val="Normal"/>
    <w:link w:val="BodyTextChar"/>
    <w:rsid w:val="00432D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DEA"/>
    <w:rPr>
      <w:rFonts w:ascii="Times New Roman" w:eastAsia="Times New Roman" w:hAnsi="Times New Roman" w:cs="Times New Roman"/>
      <w:sz w:val="24"/>
      <w:lang w:eastAsia="en-US"/>
    </w:rPr>
  </w:style>
  <w:style w:type="paragraph" w:styleId="ListBullet">
    <w:name w:val="List Bullet"/>
    <w:basedOn w:val="List"/>
    <w:rsid w:val="00432DEA"/>
    <w:pPr>
      <w:numPr>
        <w:numId w:val="13"/>
      </w:numPr>
      <w:tabs>
        <w:tab w:val="clear" w:pos="340"/>
      </w:tabs>
      <w:spacing w:before="40" w:after="40"/>
    </w:pPr>
  </w:style>
  <w:style w:type="paragraph" w:styleId="ListBullet2">
    <w:name w:val="List Bullet 2"/>
    <w:basedOn w:val="List2"/>
    <w:rsid w:val="00432DEA"/>
    <w:pPr>
      <w:numPr>
        <w:numId w:val="14"/>
      </w:numPr>
      <w:tabs>
        <w:tab w:val="clear" w:pos="680"/>
      </w:tabs>
    </w:pPr>
  </w:style>
  <w:style w:type="paragraph" w:customStyle="1" w:styleId="SuperHeading">
    <w:name w:val="SuperHeading"/>
    <w:basedOn w:val="Normal"/>
    <w:rsid w:val="00432DEA"/>
    <w:pPr>
      <w:spacing w:before="240" w:after="120"/>
      <w:outlineLvl w:val="0"/>
    </w:pPr>
    <w:rPr>
      <w:rFonts w:ascii="Times New Roman" w:hAnsi="Times New Roman"/>
      <w:b/>
      <w:sz w:val="32"/>
    </w:rPr>
  </w:style>
  <w:style w:type="paragraph" w:customStyle="1" w:styleId="AllowPageBreak">
    <w:name w:val="AllowPageBreak"/>
    <w:rsid w:val="00432D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2DEA"/>
    <w:pPr>
      <w:numPr>
        <w:numId w:val="3"/>
      </w:numPr>
      <w:tabs>
        <w:tab w:val="clear" w:pos="1021"/>
      </w:tabs>
      <w:ind w:left="1037" w:hanging="357"/>
    </w:pPr>
  </w:style>
  <w:style w:type="character" w:customStyle="1" w:styleId="Heading2Char">
    <w:name w:val="Heading 2 Char"/>
    <w:basedOn w:val="DefaultParagraphFont"/>
    <w:link w:val="Heading2"/>
    <w:rsid w:val="00432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DEA"/>
    <w:rPr>
      <w:rFonts w:ascii="Courier New" w:eastAsia="Times New Roman" w:hAnsi="Courier New" w:cs="Times New Roman"/>
      <w:i/>
      <w:szCs w:val="20"/>
      <w:lang w:eastAsia="en-US"/>
    </w:rPr>
  </w:style>
  <w:style w:type="paragraph" w:customStyle="1" w:styleId="HeadingBase">
    <w:name w:val="Heading Base"/>
    <w:rsid w:val="00432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DEA"/>
    <w:pPr>
      <w:tabs>
        <w:tab w:val="right" w:leader="dot" w:pos="9072"/>
      </w:tabs>
      <w:ind w:left="567"/>
    </w:pPr>
    <w:rPr>
      <w:szCs w:val="22"/>
    </w:rPr>
  </w:style>
  <w:style w:type="paragraph" w:customStyle="1" w:styleId="TOCBase">
    <w:name w:val="TOC Base"/>
    <w:rsid w:val="00432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DEA"/>
    <w:pPr>
      <w:tabs>
        <w:tab w:val="right" w:leader="dot" w:pos="9072"/>
      </w:tabs>
      <w:spacing w:before="40" w:after="40"/>
      <w:ind w:left="284"/>
    </w:pPr>
    <w:rPr>
      <w:rFonts w:ascii="Times New Roman" w:hAnsi="Times New Roman"/>
    </w:rPr>
  </w:style>
  <w:style w:type="paragraph" w:styleId="TOC1">
    <w:name w:val="toc 1"/>
    <w:basedOn w:val="TOCBase"/>
    <w:next w:val="Normal"/>
    <w:rsid w:val="00432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DEA"/>
    <w:rPr>
      <w:rFonts w:ascii="Times New Roman" w:eastAsia="Times New Roman" w:hAnsi="Times New Roman" w:cs="Times New Roman"/>
      <w:sz w:val="16"/>
      <w:lang w:eastAsia="en-US"/>
    </w:rPr>
  </w:style>
  <w:style w:type="paragraph" w:styleId="Title">
    <w:name w:val="Title"/>
    <w:basedOn w:val="HeadingBase"/>
    <w:link w:val="TitleChar"/>
    <w:qFormat/>
    <w:rsid w:val="00432DEA"/>
    <w:pPr>
      <w:spacing w:before="5040"/>
      <w:jc w:val="center"/>
    </w:pPr>
    <w:rPr>
      <w:sz w:val="48"/>
      <w:szCs w:val="72"/>
      <w:lang w:val="en-US"/>
    </w:rPr>
  </w:style>
  <w:style w:type="character" w:customStyle="1" w:styleId="TitleChar">
    <w:name w:val="Title Char"/>
    <w:basedOn w:val="DefaultParagraphFont"/>
    <w:link w:val="Title"/>
    <w:rsid w:val="00432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DEA"/>
    <w:pPr>
      <w:tabs>
        <w:tab w:val="left" w:pos="3600"/>
        <w:tab w:val="left" w:pos="3958"/>
      </w:tabs>
    </w:pPr>
  </w:style>
  <w:style w:type="paragraph" w:styleId="List">
    <w:name w:val="List"/>
    <w:basedOn w:val="BodyText"/>
    <w:next w:val="BodyText"/>
    <w:rsid w:val="00432DEA"/>
    <w:pPr>
      <w:tabs>
        <w:tab w:val="left" w:pos="340"/>
      </w:tabs>
      <w:spacing w:before="60" w:after="60"/>
      <w:ind w:left="340" w:hanging="340"/>
    </w:pPr>
  </w:style>
  <w:style w:type="paragraph" w:customStyle="1" w:styleId="Note">
    <w:name w:val="Note"/>
    <w:basedOn w:val="BodyText"/>
    <w:rsid w:val="00432D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2DEA"/>
    <w:rPr>
      <w:b/>
      <w:spacing w:val="0"/>
    </w:rPr>
  </w:style>
  <w:style w:type="paragraph" w:customStyle="1" w:styleId="SuperTitle">
    <w:name w:val="SuperTitle"/>
    <w:basedOn w:val="Title"/>
    <w:rsid w:val="00432DEA"/>
    <w:pPr>
      <w:framePr w:wrap="auto" w:hAnchor="text" w:y="6049"/>
    </w:pPr>
    <w:rPr>
      <w:color w:val="000000"/>
      <w:sz w:val="40"/>
    </w:rPr>
  </w:style>
  <w:style w:type="paragraph" w:customStyle="1" w:styleId="TOCTitle">
    <w:name w:val="TOCTitle"/>
    <w:basedOn w:val="Heading1"/>
    <w:rsid w:val="00432DEA"/>
    <w:pPr>
      <w:spacing w:after="240"/>
      <w:jc w:val="center"/>
      <w:outlineLvl w:val="9"/>
    </w:pPr>
    <w:rPr>
      <w:caps/>
    </w:rPr>
  </w:style>
  <w:style w:type="paragraph" w:customStyle="1" w:styleId="Version">
    <w:name w:val="Version"/>
    <w:rsid w:val="00432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DEA"/>
    <w:pPr>
      <w:keepNext w:val="0"/>
      <w:tabs>
        <w:tab w:val="right" w:pos="4176"/>
      </w:tabs>
      <w:ind w:left="198" w:hanging="198"/>
    </w:pPr>
    <w:rPr>
      <w:rFonts w:ascii="Garamond" w:hAnsi="Garamond"/>
    </w:rPr>
  </w:style>
  <w:style w:type="paragraph" w:styleId="IndexHeading">
    <w:name w:val="index heading"/>
    <w:basedOn w:val="Normal"/>
    <w:next w:val="Index1"/>
    <w:semiHidden/>
    <w:rsid w:val="00432DEA"/>
    <w:pPr>
      <w:spacing w:before="120" w:after="120"/>
    </w:pPr>
    <w:rPr>
      <w:rFonts w:ascii="Arial" w:hAnsi="Arial"/>
      <w:b/>
      <w:color w:val="918585"/>
      <w:sz w:val="24"/>
    </w:rPr>
  </w:style>
  <w:style w:type="paragraph" w:styleId="Header">
    <w:name w:val="header"/>
    <w:basedOn w:val="Normal"/>
    <w:link w:val="HeaderChar"/>
    <w:rsid w:val="00432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DEA"/>
    <w:rPr>
      <w:rFonts w:ascii="Times New Roman" w:eastAsia="Times New Roman" w:hAnsi="Times New Roman" w:cs="Times New Roman"/>
      <w:sz w:val="16"/>
      <w:szCs w:val="20"/>
      <w:lang w:val="en-GB" w:eastAsia="en-US"/>
    </w:rPr>
  </w:style>
  <w:style w:type="paragraph" w:customStyle="1" w:styleId="Chapter">
    <w:name w:val="Chapter"/>
    <w:basedOn w:val="Normal"/>
    <w:rsid w:val="00432DEA"/>
    <w:pPr>
      <w:spacing w:before="240"/>
    </w:pPr>
    <w:rPr>
      <w:rFonts w:ascii="Times New Roman" w:hAnsi="Times New Roman"/>
      <w:smallCaps/>
      <w:spacing w:val="80"/>
      <w:sz w:val="28"/>
    </w:rPr>
  </w:style>
  <w:style w:type="paragraph" w:customStyle="1" w:styleId="InChapter">
    <w:name w:val="InChapter"/>
    <w:basedOn w:val="Heading3"/>
    <w:rsid w:val="00432DEA"/>
    <w:pPr>
      <w:spacing w:after="240"/>
      <w:outlineLvl w:val="9"/>
    </w:pPr>
    <w:rPr>
      <w:noProof/>
    </w:rPr>
  </w:style>
  <w:style w:type="paragraph" w:styleId="Index2">
    <w:name w:val="index 2"/>
    <w:basedOn w:val="Normal"/>
    <w:next w:val="Normal"/>
    <w:semiHidden/>
    <w:rsid w:val="00432DEA"/>
    <w:pPr>
      <w:tabs>
        <w:tab w:val="right" w:pos="4176"/>
      </w:tabs>
      <w:ind w:left="568" w:hanging="284"/>
    </w:pPr>
    <w:rPr>
      <w:rFonts w:ascii="Garamond" w:hAnsi="Garamond"/>
    </w:rPr>
  </w:style>
  <w:style w:type="paragraph" w:customStyle="1" w:styleId="Byline">
    <w:name w:val="Byline"/>
    <w:rsid w:val="00432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DEA"/>
    <w:pPr>
      <w:tabs>
        <w:tab w:val="clear" w:pos="3600"/>
        <w:tab w:val="clear" w:pos="3958"/>
      </w:tabs>
      <w:jc w:val="right"/>
    </w:pPr>
  </w:style>
  <w:style w:type="character" w:styleId="Emphasis">
    <w:name w:val="Emphasis"/>
    <w:basedOn w:val="DefaultParagraphFont"/>
    <w:qFormat/>
    <w:rsid w:val="00432DEA"/>
    <w:rPr>
      <w:i/>
    </w:rPr>
  </w:style>
  <w:style w:type="paragraph" w:styleId="Caption">
    <w:name w:val="caption"/>
    <w:basedOn w:val="BodyText"/>
    <w:next w:val="Normal"/>
    <w:qFormat/>
    <w:rsid w:val="00432DEA"/>
    <w:pPr>
      <w:framePr w:w="2268" w:hSpace="181" w:vSpace="181" w:wrap="around" w:vAnchor="text" w:hAnchor="page" w:x="1135" w:y="285" w:anchorLock="1"/>
    </w:pPr>
    <w:rPr>
      <w:i/>
    </w:rPr>
  </w:style>
  <w:style w:type="paragraph" w:customStyle="1" w:styleId="MiniTOCTitle">
    <w:name w:val="MiniTOCTitle"/>
    <w:basedOn w:val="Heading4"/>
    <w:rsid w:val="00432DEA"/>
    <w:pPr>
      <w:spacing w:before="240"/>
      <w:outlineLvl w:val="9"/>
    </w:pPr>
    <w:rPr>
      <w:noProof/>
      <w:sz w:val="24"/>
    </w:rPr>
  </w:style>
  <w:style w:type="paragraph" w:customStyle="1" w:styleId="MiniTOCItem">
    <w:name w:val="MiniTOCItem"/>
    <w:basedOn w:val="ListBullet"/>
    <w:rsid w:val="00432DEA"/>
    <w:pPr>
      <w:numPr>
        <w:numId w:val="0"/>
      </w:numPr>
      <w:tabs>
        <w:tab w:val="right" w:leader="dot" w:pos="6521"/>
      </w:tabs>
      <w:spacing w:before="0" w:after="0"/>
    </w:pPr>
  </w:style>
  <w:style w:type="paragraph" w:customStyle="1" w:styleId="TOFTitle">
    <w:name w:val="TOFTitle"/>
    <w:basedOn w:val="TOCTitle"/>
    <w:rsid w:val="00432DEA"/>
  </w:style>
  <w:style w:type="paragraph" w:styleId="TableofFigures">
    <w:name w:val="table of figures"/>
    <w:basedOn w:val="Normal"/>
    <w:next w:val="Normal"/>
    <w:semiHidden/>
    <w:rsid w:val="00432DEA"/>
    <w:pPr>
      <w:tabs>
        <w:tab w:val="right" w:leader="dot" w:pos="9072"/>
      </w:tabs>
      <w:ind w:left="970" w:hanging="403"/>
    </w:pPr>
    <w:rPr>
      <w:rFonts w:ascii="Times New Roman" w:hAnsi="Times New Roman"/>
      <w:b/>
    </w:rPr>
  </w:style>
  <w:style w:type="paragraph" w:styleId="ListNumber">
    <w:name w:val="List Number"/>
    <w:basedOn w:val="List"/>
    <w:rsid w:val="00432DEA"/>
    <w:pPr>
      <w:numPr>
        <w:numId w:val="16"/>
      </w:numPr>
      <w:tabs>
        <w:tab w:val="clear" w:pos="340"/>
      </w:tabs>
    </w:pPr>
  </w:style>
  <w:style w:type="character" w:customStyle="1" w:styleId="WingdingSymbols">
    <w:name w:val="Wingding Symbols"/>
    <w:rsid w:val="00432DEA"/>
    <w:rPr>
      <w:rFonts w:ascii="Wingdings" w:hAnsi="Wingdings"/>
    </w:rPr>
  </w:style>
  <w:style w:type="paragraph" w:customStyle="1" w:styleId="TableHeading">
    <w:name w:val="Table Heading"/>
    <w:basedOn w:val="HeadingBase"/>
    <w:rsid w:val="00432DEA"/>
    <w:pPr>
      <w:keepLines/>
      <w:pBdr>
        <w:bottom w:val="single" w:sz="6" w:space="1" w:color="918585"/>
      </w:pBdr>
      <w:spacing w:before="240"/>
    </w:pPr>
  </w:style>
  <w:style w:type="character" w:customStyle="1" w:styleId="HotSpot">
    <w:name w:val="HotSpot"/>
    <w:rsid w:val="00432DEA"/>
    <w:rPr>
      <w:color w:val="0033CC"/>
      <w:u w:val="none"/>
    </w:rPr>
  </w:style>
  <w:style w:type="paragraph" w:customStyle="1" w:styleId="BodyTextRight">
    <w:name w:val="Body Text Right"/>
    <w:basedOn w:val="BodyText"/>
    <w:rsid w:val="00432DEA"/>
    <w:pPr>
      <w:spacing w:before="0" w:after="0"/>
      <w:jc w:val="right"/>
    </w:pPr>
  </w:style>
  <w:style w:type="paragraph" w:styleId="Index3">
    <w:name w:val="index 3"/>
    <w:basedOn w:val="ListNumber2"/>
    <w:next w:val="Normal"/>
    <w:semiHidden/>
    <w:rsid w:val="00432DEA"/>
    <w:pPr>
      <w:numPr>
        <w:numId w:val="0"/>
      </w:numPr>
      <w:tabs>
        <w:tab w:val="right" w:leader="dot" w:pos="4176"/>
      </w:tabs>
    </w:pPr>
  </w:style>
  <w:style w:type="paragraph" w:styleId="ListNumber2">
    <w:name w:val="List Number 2"/>
    <w:basedOn w:val="List2"/>
    <w:rsid w:val="00432DEA"/>
    <w:pPr>
      <w:numPr>
        <w:numId w:val="11"/>
      </w:numPr>
      <w:tabs>
        <w:tab w:val="clear" w:pos="1060"/>
      </w:tabs>
    </w:pPr>
  </w:style>
  <w:style w:type="paragraph" w:customStyle="1" w:styleId="MarginNote">
    <w:name w:val="Margin Note"/>
    <w:basedOn w:val="BodyText"/>
    <w:rsid w:val="00432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DEA"/>
    <w:rPr>
      <w:sz w:val="32"/>
    </w:rPr>
  </w:style>
  <w:style w:type="paragraph" w:customStyle="1" w:styleId="HeadingProcedure">
    <w:name w:val="Heading Procedure"/>
    <w:basedOn w:val="HeadingBase"/>
    <w:next w:val="Normal"/>
    <w:rsid w:val="00432DEA"/>
    <w:pPr>
      <w:tabs>
        <w:tab w:val="left" w:pos="0"/>
      </w:tabs>
      <w:spacing w:before="120" w:after="60"/>
    </w:pPr>
    <w:rPr>
      <w:i/>
      <w:color w:val="918585"/>
      <w:sz w:val="22"/>
    </w:rPr>
  </w:style>
  <w:style w:type="paragraph" w:customStyle="1" w:styleId="TableBodyText">
    <w:name w:val="Table Body Text"/>
    <w:basedOn w:val="BodyText"/>
    <w:rsid w:val="00432DEA"/>
    <w:pPr>
      <w:spacing w:before="60" w:after="60"/>
    </w:pPr>
  </w:style>
  <w:style w:type="paragraph" w:styleId="ListContinue">
    <w:name w:val="List Continue"/>
    <w:basedOn w:val="List"/>
    <w:rsid w:val="00432DEA"/>
    <w:pPr>
      <w:ind w:firstLine="0"/>
    </w:pPr>
  </w:style>
  <w:style w:type="paragraph" w:customStyle="1" w:styleId="ListNote">
    <w:name w:val="List Note"/>
    <w:basedOn w:val="List"/>
    <w:rsid w:val="00432DEA"/>
    <w:pPr>
      <w:pBdr>
        <w:top w:val="single" w:sz="6" w:space="2" w:color="918585"/>
        <w:bottom w:val="single" w:sz="6" w:space="2" w:color="918585"/>
      </w:pBdr>
      <w:tabs>
        <w:tab w:val="left" w:pos="1021"/>
      </w:tabs>
      <w:ind w:firstLine="0"/>
    </w:pPr>
  </w:style>
  <w:style w:type="paragraph" w:customStyle="1" w:styleId="Warning">
    <w:name w:val="Warning"/>
    <w:basedOn w:val="BodyText"/>
    <w:rsid w:val="00432DEA"/>
    <w:pPr>
      <w:shd w:val="clear" w:color="auto" w:fill="D9D9D9"/>
      <w:tabs>
        <w:tab w:val="left" w:pos="992"/>
      </w:tabs>
      <w:ind w:left="119" w:right="119"/>
    </w:pPr>
    <w:rPr>
      <w:sz w:val="20"/>
    </w:rPr>
  </w:style>
  <w:style w:type="paragraph" w:customStyle="1" w:styleId="MarginIcons">
    <w:name w:val="Margin Icons"/>
    <w:basedOn w:val="BodyText"/>
    <w:rsid w:val="00432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DEA"/>
    <w:rPr>
      <w:rFonts w:ascii="Courier New" w:hAnsi="Courier New"/>
    </w:rPr>
  </w:style>
  <w:style w:type="paragraph" w:customStyle="1" w:styleId="NoteBullet">
    <w:name w:val="Note Bullet"/>
    <w:basedOn w:val="Note"/>
    <w:rsid w:val="00432DEA"/>
    <w:pPr>
      <w:tabs>
        <w:tab w:val="clear" w:pos="680"/>
      </w:tabs>
      <w:spacing w:before="60" w:after="60"/>
    </w:pPr>
  </w:style>
  <w:style w:type="paragraph" w:customStyle="1" w:styleId="SubHeading2">
    <w:name w:val="SubHeading2"/>
    <w:basedOn w:val="HeadingBase"/>
    <w:rsid w:val="00432DEA"/>
    <w:pPr>
      <w:spacing w:before="240" w:after="60"/>
    </w:pPr>
    <w:rPr>
      <w:sz w:val="20"/>
    </w:rPr>
  </w:style>
  <w:style w:type="paragraph" w:customStyle="1" w:styleId="SubHeading1">
    <w:name w:val="SubHeading1"/>
    <w:basedOn w:val="HeadingBase"/>
    <w:rsid w:val="00432DEA"/>
    <w:pPr>
      <w:spacing w:before="240" w:after="60"/>
    </w:pPr>
    <w:rPr>
      <w:color w:val="918585"/>
      <w:sz w:val="22"/>
    </w:rPr>
  </w:style>
  <w:style w:type="paragraph" w:customStyle="1" w:styleId="SideHeading">
    <w:name w:val="Side Heading"/>
    <w:basedOn w:val="HeadingBase"/>
    <w:rsid w:val="00432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DEA"/>
    <w:pPr>
      <w:numPr>
        <w:numId w:val="12"/>
      </w:numPr>
    </w:pPr>
  </w:style>
  <w:style w:type="paragraph" w:styleId="PlainText">
    <w:name w:val="Plain Text"/>
    <w:basedOn w:val="Normal"/>
    <w:link w:val="PlainTextChar"/>
    <w:rsid w:val="00432DEA"/>
    <w:rPr>
      <w:sz w:val="20"/>
    </w:rPr>
  </w:style>
  <w:style w:type="character" w:customStyle="1" w:styleId="PlainTextChar">
    <w:name w:val="Plain Text Char"/>
    <w:basedOn w:val="DefaultParagraphFont"/>
    <w:link w:val="PlainText"/>
    <w:rsid w:val="00432DEA"/>
    <w:rPr>
      <w:rFonts w:ascii="Courier New" w:eastAsia="Times New Roman" w:hAnsi="Courier New" w:cs="Times New Roman"/>
      <w:sz w:val="20"/>
      <w:szCs w:val="20"/>
      <w:lang w:eastAsia="en-US"/>
    </w:rPr>
  </w:style>
  <w:style w:type="character" w:customStyle="1" w:styleId="MenuOption">
    <w:name w:val="Menu Option"/>
    <w:basedOn w:val="DefaultParagraphFont"/>
    <w:rsid w:val="00432DEA"/>
    <w:rPr>
      <w:b/>
      <w:smallCaps/>
    </w:rPr>
  </w:style>
  <w:style w:type="paragraph" w:customStyle="1" w:styleId="TableListNumber">
    <w:name w:val="Table List Number"/>
    <w:basedOn w:val="ListNumber"/>
    <w:rsid w:val="00432DEA"/>
    <w:pPr>
      <w:numPr>
        <w:numId w:val="0"/>
      </w:numPr>
    </w:pPr>
  </w:style>
  <w:style w:type="paragraph" w:styleId="TOC4">
    <w:name w:val="toc 4"/>
    <w:basedOn w:val="TOCBase"/>
    <w:next w:val="Normal"/>
    <w:semiHidden/>
    <w:rsid w:val="00432DEA"/>
    <w:pPr>
      <w:tabs>
        <w:tab w:val="right" w:leader="dot" w:pos="9071"/>
      </w:tabs>
      <w:ind w:left="1701"/>
    </w:pPr>
  </w:style>
  <w:style w:type="paragraph" w:customStyle="1" w:styleId="ListAlpha">
    <w:name w:val="List Alpha"/>
    <w:basedOn w:val="List"/>
    <w:rsid w:val="00432DEA"/>
    <w:pPr>
      <w:numPr>
        <w:numId w:val="10"/>
      </w:numPr>
    </w:pPr>
  </w:style>
  <w:style w:type="paragraph" w:customStyle="1" w:styleId="ListAlpha2">
    <w:name w:val="List Alpha 2"/>
    <w:basedOn w:val="List2"/>
    <w:rsid w:val="00432DEA"/>
    <w:pPr>
      <w:numPr>
        <w:numId w:val="9"/>
      </w:numPr>
    </w:pPr>
  </w:style>
  <w:style w:type="paragraph" w:styleId="List2">
    <w:name w:val="List 2"/>
    <w:basedOn w:val="BodyText"/>
    <w:rsid w:val="00432DEA"/>
    <w:pPr>
      <w:tabs>
        <w:tab w:val="left" w:pos="680"/>
      </w:tabs>
      <w:spacing w:before="60" w:after="60"/>
      <w:ind w:left="680" w:hanging="340"/>
    </w:pPr>
  </w:style>
  <w:style w:type="paragraph" w:styleId="List3">
    <w:name w:val="List 3"/>
    <w:basedOn w:val="BodyText"/>
    <w:rsid w:val="00432DEA"/>
    <w:pPr>
      <w:tabs>
        <w:tab w:val="left" w:pos="1021"/>
      </w:tabs>
      <w:spacing w:before="60" w:after="60"/>
      <w:ind w:left="1020" w:hanging="340"/>
    </w:pPr>
  </w:style>
  <w:style w:type="paragraph" w:styleId="List4">
    <w:name w:val="List 4"/>
    <w:basedOn w:val="BodyText"/>
    <w:rsid w:val="00432DEA"/>
    <w:pPr>
      <w:tabs>
        <w:tab w:val="left" w:pos="1361"/>
      </w:tabs>
      <w:spacing w:before="60" w:after="60"/>
      <w:ind w:left="1361" w:hanging="340"/>
    </w:pPr>
  </w:style>
  <w:style w:type="paragraph" w:styleId="List5">
    <w:name w:val="List 5"/>
    <w:basedOn w:val="BodyText"/>
    <w:rsid w:val="00432DEA"/>
    <w:pPr>
      <w:tabs>
        <w:tab w:val="left" w:pos="1701"/>
      </w:tabs>
      <w:spacing w:before="60" w:after="60"/>
      <w:ind w:left="1701" w:hanging="340"/>
    </w:pPr>
  </w:style>
  <w:style w:type="paragraph" w:styleId="ListBullet4">
    <w:name w:val="List Bullet 4"/>
    <w:basedOn w:val="List4"/>
    <w:rsid w:val="00432DEA"/>
    <w:pPr>
      <w:numPr>
        <w:numId w:val="4"/>
      </w:numPr>
      <w:tabs>
        <w:tab w:val="clear" w:pos="1361"/>
      </w:tabs>
    </w:pPr>
  </w:style>
  <w:style w:type="paragraph" w:styleId="ListBullet5">
    <w:name w:val="List Bullet 5"/>
    <w:basedOn w:val="List5"/>
    <w:rsid w:val="00432DEA"/>
    <w:pPr>
      <w:numPr>
        <w:numId w:val="5"/>
      </w:numPr>
    </w:pPr>
  </w:style>
  <w:style w:type="paragraph" w:styleId="ListContinue2">
    <w:name w:val="List Continue 2"/>
    <w:basedOn w:val="List2"/>
    <w:rsid w:val="00432DEA"/>
    <w:pPr>
      <w:ind w:firstLine="0"/>
    </w:pPr>
  </w:style>
  <w:style w:type="paragraph" w:styleId="ListContinue3">
    <w:name w:val="List Continue 3"/>
    <w:basedOn w:val="List3"/>
    <w:rsid w:val="00432DEA"/>
    <w:pPr>
      <w:ind w:left="1021" w:firstLine="0"/>
    </w:pPr>
  </w:style>
  <w:style w:type="paragraph" w:styleId="ListContinue4">
    <w:name w:val="List Continue 4"/>
    <w:basedOn w:val="List4"/>
    <w:rsid w:val="00432DEA"/>
    <w:pPr>
      <w:ind w:firstLine="0"/>
    </w:pPr>
  </w:style>
  <w:style w:type="paragraph" w:styleId="ListContinue5">
    <w:name w:val="List Continue 5"/>
    <w:basedOn w:val="List5"/>
    <w:rsid w:val="00432DEA"/>
    <w:pPr>
      <w:ind w:firstLine="0"/>
    </w:pPr>
  </w:style>
  <w:style w:type="paragraph" w:styleId="ListNumber3">
    <w:name w:val="List Number 3"/>
    <w:basedOn w:val="List3"/>
    <w:rsid w:val="00432DEA"/>
    <w:pPr>
      <w:numPr>
        <w:numId w:val="6"/>
      </w:numPr>
    </w:pPr>
  </w:style>
  <w:style w:type="paragraph" w:styleId="ListNumber4">
    <w:name w:val="List Number 4"/>
    <w:basedOn w:val="List4"/>
    <w:rsid w:val="00432DEA"/>
    <w:pPr>
      <w:numPr>
        <w:numId w:val="7"/>
      </w:numPr>
    </w:pPr>
  </w:style>
  <w:style w:type="paragraph" w:styleId="ListNumber5">
    <w:name w:val="List Number 5"/>
    <w:basedOn w:val="List5"/>
    <w:rsid w:val="00432DEA"/>
    <w:pPr>
      <w:numPr>
        <w:numId w:val="8"/>
      </w:numPr>
    </w:pPr>
  </w:style>
  <w:style w:type="paragraph" w:styleId="BlockText">
    <w:name w:val="Block Text"/>
    <w:basedOn w:val="Normal"/>
    <w:rsid w:val="00432DEA"/>
    <w:pPr>
      <w:spacing w:after="120"/>
      <w:ind w:left="1440" w:right="1440"/>
    </w:pPr>
  </w:style>
  <w:style w:type="character" w:customStyle="1" w:styleId="Subscript">
    <w:name w:val="Subscript"/>
    <w:basedOn w:val="DefaultParagraphFont"/>
    <w:rsid w:val="00432DEA"/>
    <w:rPr>
      <w:sz w:val="16"/>
      <w:vertAlign w:val="subscript"/>
    </w:rPr>
  </w:style>
  <w:style w:type="character" w:customStyle="1" w:styleId="Superscript">
    <w:name w:val="Superscript"/>
    <w:basedOn w:val="DefaultParagraphFont"/>
    <w:rsid w:val="00432DEA"/>
    <w:rPr>
      <w:sz w:val="16"/>
      <w:vertAlign w:val="superscript"/>
    </w:rPr>
  </w:style>
  <w:style w:type="character" w:customStyle="1" w:styleId="Symbols">
    <w:name w:val="Symbols"/>
    <w:basedOn w:val="DefaultParagraphFont"/>
    <w:rsid w:val="00432DEA"/>
    <w:rPr>
      <w:rFonts w:ascii="Symbol" w:hAnsi="Symbol"/>
    </w:rPr>
  </w:style>
  <w:style w:type="character" w:customStyle="1" w:styleId="MenuOptions">
    <w:name w:val="Menu Options"/>
    <w:basedOn w:val="DefaultParagraphFont"/>
    <w:rsid w:val="00432DEA"/>
    <w:rPr>
      <w:rFonts w:ascii="Arial Narrow" w:hAnsi="Arial Narrow"/>
      <w:smallCaps/>
    </w:rPr>
  </w:style>
  <w:style w:type="character" w:customStyle="1" w:styleId="Buttons">
    <w:name w:val="Buttons"/>
    <w:basedOn w:val="DefaultParagraphFont"/>
    <w:rsid w:val="00432DEA"/>
    <w:rPr>
      <w:b/>
    </w:rPr>
  </w:style>
  <w:style w:type="character" w:customStyle="1" w:styleId="Underlined">
    <w:name w:val="Underlined"/>
    <w:basedOn w:val="DefaultParagraphFont"/>
    <w:rsid w:val="00432DEA"/>
    <w:rPr>
      <w:u w:val="single"/>
    </w:rPr>
  </w:style>
  <w:style w:type="paragraph" w:customStyle="1" w:styleId="TableBodyTextRight">
    <w:name w:val="Table Body Text Right"/>
    <w:basedOn w:val="TableBodyText"/>
    <w:rsid w:val="00432DEA"/>
    <w:pPr>
      <w:widowControl w:val="0"/>
      <w:autoSpaceDE w:val="0"/>
      <w:autoSpaceDN w:val="0"/>
      <w:adjustRightInd w:val="0"/>
      <w:jc w:val="right"/>
    </w:pPr>
    <w:rPr>
      <w:rFonts w:cs="Arial"/>
      <w:szCs w:val="18"/>
    </w:rPr>
  </w:style>
  <w:style w:type="paragraph" w:customStyle="1" w:styleId="CopyrightText">
    <w:name w:val="Copyright Text"/>
    <w:basedOn w:val="BodyText"/>
    <w:rsid w:val="00432DEA"/>
    <w:rPr>
      <w:sz w:val="18"/>
    </w:rPr>
  </w:style>
  <w:style w:type="paragraph" w:customStyle="1" w:styleId="BodySmallRight">
    <w:name w:val="Body Small Right"/>
    <w:basedOn w:val="BodyTextRight"/>
    <w:rsid w:val="00432DEA"/>
    <w:rPr>
      <w:sz w:val="18"/>
      <w:szCs w:val="18"/>
    </w:rPr>
  </w:style>
  <w:style w:type="paragraph" w:customStyle="1" w:styleId="MarginEdition">
    <w:name w:val="Margin Edition"/>
    <w:basedOn w:val="MarginNote"/>
    <w:rsid w:val="00432DEA"/>
    <w:pPr>
      <w:spacing w:before="0" w:after="0"/>
    </w:pPr>
    <w:rPr>
      <w:rFonts w:ascii="Times New Roman" w:hAnsi="Times New Roman"/>
      <w:color w:val="999999"/>
    </w:rPr>
  </w:style>
  <w:style w:type="paragraph" w:customStyle="1" w:styleId="Spacer">
    <w:name w:val="Spacer"/>
    <w:basedOn w:val="Normal"/>
    <w:rsid w:val="00432DEA"/>
    <w:rPr>
      <w:sz w:val="2"/>
      <w:szCs w:val="2"/>
    </w:rPr>
  </w:style>
  <w:style w:type="character" w:customStyle="1" w:styleId="Small">
    <w:name w:val="Small"/>
    <w:basedOn w:val="DefaultParagraphFont"/>
    <w:rsid w:val="00432DEA"/>
    <w:rPr>
      <w:sz w:val="16"/>
    </w:rPr>
  </w:style>
  <w:style w:type="paragraph" w:customStyle="1" w:styleId="WideTable">
    <w:name w:val="Wide Table"/>
    <w:basedOn w:val="Normal"/>
    <w:rsid w:val="00432DEA"/>
    <w:pPr>
      <w:ind w:left="-1418"/>
    </w:pPr>
    <w:rPr>
      <w:sz w:val="2"/>
      <w:szCs w:val="2"/>
    </w:rPr>
  </w:style>
  <w:style w:type="character" w:styleId="PageNumber">
    <w:name w:val="page number"/>
    <w:basedOn w:val="DefaultParagraphFont"/>
    <w:rsid w:val="00432DEA"/>
  </w:style>
  <w:style w:type="paragraph" w:styleId="Quote">
    <w:name w:val="Quote"/>
    <w:basedOn w:val="Heading1"/>
    <w:link w:val="QuoteChar"/>
    <w:qFormat/>
    <w:rsid w:val="00432DEA"/>
    <w:rPr>
      <w:b w:val="0"/>
      <w:sz w:val="72"/>
      <w:szCs w:val="72"/>
      <w:lang w:val="en-NZ"/>
    </w:rPr>
  </w:style>
  <w:style w:type="character" w:customStyle="1" w:styleId="QuoteChar">
    <w:name w:val="Quote Char"/>
    <w:basedOn w:val="DefaultParagraphFont"/>
    <w:link w:val="Quote"/>
    <w:rsid w:val="00432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DEA"/>
    <w:pPr>
      <w:pageBreakBefore/>
    </w:pPr>
  </w:style>
  <w:style w:type="paragraph" w:customStyle="1" w:styleId="Border">
    <w:name w:val="Border"/>
    <w:basedOn w:val="Normal"/>
    <w:qFormat/>
    <w:rsid w:val="00432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DEA"/>
    <w:rPr>
      <w:b/>
      <w:bCs/>
      <w:i/>
      <w:iCs/>
      <w:color w:val="auto"/>
    </w:rPr>
  </w:style>
  <w:style w:type="paragraph" w:styleId="IntenseQuote">
    <w:name w:val="Intense Quote"/>
    <w:basedOn w:val="Normal"/>
    <w:next w:val="Normal"/>
    <w:link w:val="IntenseQuoteChar"/>
    <w:uiPriority w:val="30"/>
    <w:qFormat/>
    <w:rsid w:val="00432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DEA"/>
    <w:rPr>
      <w:smallCaps/>
      <w:color w:val="auto"/>
      <w:u w:val="single"/>
    </w:rPr>
  </w:style>
  <w:style w:type="character" w:styleId="IntenseReference">
    <w:name w:val="Intense Reference"/>
    <w:basedOn w:val="DefaultParagraphFont"/>
    <w:uiPriority w:val="32"/>
    <w:qFormat/>
    <w:rsid w:val="00432DEA"/>
    <w:rPr>
      <w:b/>
      <w:bCs/>
      <w:smallCaps/>
      <w:color w:val="auto"/>
      <w:spacing w:val="5"/>
      <w:u w:val="single"/>
    </w:rPr>
  </w:style>
  <w:style w:type="paragraph" w:customStyle="1" w:styleId="2ColumnHeading">
    <w:name w:val="2Column Heading"/>
    <w:basedOn w:val="BodyText"/>
    <w:qFormat/>
    <w:rsid w:val="00432DEA"/>
    <w:pPr>
      <w:spacing w:after="60"/>
      <w:ind w:left="-2268"/>
    </w:pPr>
    <w:rPr>
      <w:b/>
    </w:rPr>
  </w:style>
  <w:style w:type="paragraph" w:customStyle="1" w:styleId="Heading1TOC">
    <w:name w:val="Heading1 TOC"/>
    <w:basedOn w:val="Normal"/>
    <w:qFormat/>
    <w:rsid w:val="00432DEA"/>
    <w:pPr>
      <w:spacing w:before="240" w:after="120"/>
    </w:pPr>
    <w:rPr>
      <w:rFonts w:ascii="Times New Roman" w:hAnsi="Times New Roman"/>
      <w:b/>
      <w:sz w:val="32"/>
    </w:rPr>
  </w:style>
  <w:style w:type="paragraph" w:customStyle="1" w:styleId="Heading2TOC">
    <w:name w:val="Heading2 TOC"/>
    <w:basedOn w:val="Normal"/>
    <w:qFormat/>
    <w:rsid w:val="00432DEA"/>
    <w:pPr>
      <w:spacing w:before="240" w:after="60"/>
    </w:pPr>
    <w:rPr>
      <w:rFonts w:ascii="Times New Roman" w:hAnsi="Times New Roman"/>
      <w:b/>
      <w:sz w:val="28"/>
    </w:rPr>
  </w:style>
  <w:style w:type="character" w:customStyle="1" w:styleId="Underline">
    <w:name w:val="Underline"/>
    <w:basedOn w:val="DefaultParagraphFont"/>
    <w:qFormat/>
    <w:rsid w:val="00432DEA"/>
    <w:rPr>
      <w:u w:val="single"/>
    </w:rPr>
  </w:style>
  <w:style w:type="character" w:customStyle="1" w:styleId="BoldandItalics">
    <w:name w:val="Bold and Italics"/>
    <w:qFormat/>
    <w:rsid w:val="00432DEA"/>
    <w:rPr>
      <w:b/>
      <w:i/>
      <w:u w:val="none"/>
    </w:rPr>
  </w:style>
  <w:style w:type="paragraph" w:styleId="BalloonText">
    <w:name w:val="Balloon Text"/>
    <w:basedOn w:val="Normal"/>
    <w:link w:val="BalloonTextChar"/>
    <w:rsid w:val="00432DEA"/>
    <w:rPr>
      <w:rFonts w:ascii="Tahoma" w:hAnsi="Tahoma" w:cs="Tahoma"/>
      <w:sz w:val="16"/>
      <w:szCs w:val="16"/>
    </w:rPr>
  </w:style>
  <w:style w:type="character" w:customStyle="1" w:styleId="BalloonTextChar">
    <w:name w:val="Balloon Text Char"/>
    <w:basedOn w:val="DefaultParagraphFont"/>
    <w:link w:val="BalloonText"/>
    <w:rsid w:val="00432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D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DEA"/>
    <w:rPr>
      <w:b/>
      <w:color w:val="660033"/>
      <w:spacing w:val="0"/>
    </w:rPr>
  </w:style>
  <w:style w:type="paragraph" w:customStyle="1" w:styleId="Nameditemlist">
    <w:name w:val="Named item list"/>
    <w:basedOn w:val="BodyText"/>
    <w:qFormat/>
    <w:rsid w:val="00432DEA"/>
    <w:pPr>
      <w:tabs>
        <w:tab w:val="left" w:pos="2835"/>
      </w:tabs>
      <w:ind w:left="2835" w:hanging="2835"/>
    </w:pPr>
  </w:style>
  <w:style w:type="paragraph" w:customStyle="1" w:styleId="BodyTextnopadding">
    <w:name w:val="Body Text no padding"/>
    <w:basedOn w:val="BodyText"/>
    <w:qFormat/>
    <w:rsid w:val="00432DEA"/>
    <w:pPr>
      <w:spacing w:before="0" w:after="0"/>
    </w:pPr>
  </w:style>
  <w:style w:type="paragraph" w:customStyle="1" w:styleId="BodyTextBold">
    <w:name w:val="Body Text Bold"/>
    <w:basedOn w:val="BodyText"/>
    <w:qFormat/>
    <w:rsid w:val="00432DEA"/>
    <w:rPr>
      <w:b/>
    </w:rPr>
  </w:style>
  <w:style w:type="character" w:styleId="Hyperlink">
    <w:name w:val="Hyperlink"/>
    <w:basedOn w:val="DefaultParagraphFont"/>
    <w:uiPriority w:val="99"/>
    <w:unhideWhenUsed/>
    <w:rsid w:val="00ED5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443</Words>
  <Characters>2925</Characters>
  <Application>Microsoft Office Word</Application>
  <DocSecurity>0</DocSecurity>
  <Lines>104</Lines>
  <Paragraphs>84</Paragraphs>
  <ScaleCrop>false</ScaleCrop>
  <Company>Author-it Software Corporation Ltd.</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CPCCPD2012 Use painting and decorating tools and equipment</dc:title>
  <dc:subject>Approved</dc:subject>
  <dc:creator>BuildSkills Australia</dc:creator>
  <cp:keywords>Release: 3</cp:keywords>
  <dc:description>Review Date: 12 April 2008</dc:description>
  <cp:lastModifiedBy>HSD_TPCMSd.prod</cp:lastModifiedBy>
  <cp:revision>3</cp:revision>
  <dcterms:created xsi:type="dcterms:W3CDTF">2024-12-24T01:27:00Z</dcterms:created>
  <dcterms:modified xsi:type="dcterms:W3CDTF">2024-12-24T01:27:00Z</dcterms:modified>
</cp:coreProperties>
</file>