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580" w:rsidP="00B55580">
      <w:pPr>
        <w:pStyle w:val="Title"/>
      </w:pPr>
      <w:r>
        <w:fldChar w:fldCharType="begin"/>
      </w:r>
      <w:r>
        <w:instrText xml:space="preserve"> TITLE   \* MERGEFORMAT </w:instrText>
      </w:r>
      <w:r>
        <w:fldChar w:fldCharType="separate"/>
      </w:r>
      <w:r>
        <w:t>CPCCPD2011 Handle and store painting and decorating materials</w:t>
      </w:r>
      <w:r>
        <w:fldChar w:fldCharType="end"/>
      </w:r>
    </w:p>
    <w:p w:rsidR="00B55580" w:rsidP="00B55580">
      <w:pPr>
        <w:pStyle w:val="Version"/>
        <w:sectPr w:rsidSect="004F1D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F1DA6" w:rsidP="004F1DA6">
      <w:pPr>
        <w:pStyle w:val="SuperHeading"/>
      </w:pPr>
      <w:r w:rsidRPr="004F1DA6">
        <w:t>CPCCPD2011 Handle and store painting and decorating materials</w:t>
      </w:r>
    </w:p>
    <w:p w:rsidR="00000000" w:rsidRPr="004F1DA6" w:rsidP="004F1DA6">
      <w:pPr>
        <w:pStyle w:val="Heading1"/>
      </w:pPr>
      <w:bookmarkStart w:id="1" w:name="O_1291037"/>
      <w:bookmarkEnd w:id="1"/>
      <w:r w:rsidRPr="004F1DA6">
        <w:t>Modification History</w:t>
      </w:r>
    </w:p>
    <w:tbl>
      <w:tblPr>
        <w:tblW w:w="0" w:type="auto"/>
        <w:tblLayout w:type="fixed"/>
        <w:tblCellMar>
          <w:left w:w="62" w:type="dxa"/>
          <w:right w:w="62" w:type="dxa"/>
        </w:tblCellMar>
        <w:tblLook w:val="0000"/>
      </w:tblPr>
      <w:tblGrid>
        <w:gridCol w:w="1128"/>
        <w:gridCol w:w="7944"/>
      </w:tblGrid>
      <w:tr w:rsidTr="004F1DA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Release 3</w:t>
            </w:r>
          </w:p>
        </w:tc>
        <w:tc>
          <w:tcPr>
            <w:tcW w:w="7944"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Updated reference to general construction induction training program.</w:t>
            </w:r>
          </w:p>
        </w:tc>
      </w:tr>
      <w:tr w:rsidTr="004F1DA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Release 2</w:t>
            </w:r>
          </w:p>
        </w:tc>
        <w:tc>
          <w:tcPr>
            <w:tcW w:w="7944" w:type="dxa"/>
            <w:tcBorders>
              <w:top w:val="nil"/>
              <w:left w:val="nil"/>
              <w:bottom w:val="nil"/>
              <w:right w:val="nil"/>
            </w:tcBorders>
            <w:tcMar>
              <w:top w:w="0" w:type="dxa"/>
              <w:left w:w="62" w:type="dxa"/>
              <w:bottom w:w="0" w:type="dxa"/>
              <w:right w:w="62" w:type="dxa"/>
            </w:tcMar>
          </w:tcPr>
          <w:p w:rsidR="00000000" w:rsidRPr="004F1DA6" w:rsidP="004F1DA6">
            <w:pPr>
              <w:pStyle w:val="BodyText"/>
            </w:pPr>
            <w:r w:rsidRPr="004F1DA6">
              <w:t>This version first released with CPC Construction, Plumbing and Services Training Package Release 6.4.</w:t>
            </w:r>
          </w:p>
          <w:p w:rsidR="00000000" w:rsidP="004F1DA6">
            <w:pPr>
              <w:pStyle w:val="BodyText"/>
              <w:rPr>
                <w:lang w:val="en-NZ"/>
              </w:rPr>
            </w:pPr>
            <w:r w:rsidRPr="004F1DA6">
              <w:t>Correction to Training Package title in the Modification History from CPC Property Services to CPC Construction, Plumbing and Services Training Package.</w:t>
            </w:r>
          </w:p>
        </w:tc>
      </w:tr>
      <w:tr w:rsidTr="004F1DA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Release 1</w:t>
            </w:r>
          </w:p>
        </w:tc>
        <w:tc>
          <w:tcPr>
            <w:tcW w:w="7944" w:type="dxa"/>
            <w:tcBorders>
              <w:top w:val="nil"/>
              <w:left w:val="nil"/>
              <w:bottom w:val="nil"/>
              <w:right w:val="nil"/>
            </w:tcBorders>
            <w:tcMar>
              <w:top w:w="0" w:type="dxa"/>
              <w:left w:w="62" w:type="dxa"/>
              <w:bottom w:w="0" w:type="dxa"/>
              <w:right w:w="62" w:type="dxa"/>
            </w:tcMar>
          </w:tcPr>
          <w:p w:rsidR="00000000" w:rsidRPr="004F1DA6" w:rsidP="004F1DA6">
            <w:pPr>
              <w:pStyle w:val="BodyText"/>
            </w:pPr>
            <w:r w:rsidRPr="004F1DA6">
              <w:t>This version first released with CPC Property Services Training Package Release 5.0.</w:t>
            </w:r>
          </w:p>
          <w:p w:rsidR="00000000" w:rsidRPr="004F1DA6" w:rsidP="004F1DA6">
            <w:pPr>
              <w:pStyle w:val="BodyText"/>
            </w:pPr>
            <w:r w:rsidRPr="004F1DA6">
              <w:t>Superse</w:t>
            </w:r>
            <w:r w:rsidRPr="004F1DA6">
              <w:t>des and is equivalent to CPCCPD2011A Handle painting and decorating materials.  Minor title change.  Updated to meet the Standards for Training Packages 2012.</w:t>
            </w:r>
          </w:p>
        </w:tc>
      </w:tr>
    </w:tbl>
    <w:p w:rsidR="00000000" w:rsidRPr="004F1DA6" w:rsidP="004F1DA6">
      <w:pPr>
        <w:pStyle w:val="BodyText"/>
      </w:pPr>
    </w:p>
    <w:p w:rsidR="00000000" w:rsidRPr="004F1DA6" w:rsidP="004F1DA6">
      <w:pPr>
        <w:pStyle w:val="AllowPageBreak"/>
      </w:pPr>
    </w:p>
    <w:p w:rsidR="00000000" w:rsidRPr="004F1DA6" w:rsidP="004F1DA6">
      <w:pPr>
        <w:pStyle w:val="Heading1"/>
      </w:pPr>
      <w:bookmarkStart w:id="2" w:name="O_1291036"/>
      <w:bookmarkEnd w:id="2"/>
      <w:r w:rsidRPr="004F1DA6">
        <w:t>Application</w:t>
      </w:r>
    </w:p>
    <w:p w:rsidR="00000000" w:rsidRPr="004F1DA6" w:rsidP="00B55580">
      <w:pPr>
        <w:pStyle w:val="BodyText"/>
      </w:pPr>
      <w:r w:rsidRPr="004F1DA6">
        <w:t>This unit of competency specifies the skills and knowledge requi</w:t>
      </w:r>
      <w:r w:rsidRPr="004F1DA6">
        <w:t xml:space="preserve">red to handle, sort and store painting and decorating materials. </w:t>
      </w:r>
    </w:p>
    <w:p w:rsidR="00000000" w:rsidRPr="004F1DA6" w:rsidP="00B55580">
      <w:pPr>
        <w:pStyle w:val="BodyText"/>
      </w:pPr>
      <w:r w:rsidRPr="004F1DA6">
        <w:t>The unit includes handling, sorting, storing, protecting and distributing materials and cleaning-up.</w:t>
      </w:r>
    </w:p>
    <w:p w:rsidR="00000000" w:rsidRPr="004F1DA6" w:rsidP="00B55580">
      <w:pPr>
        <w:pStyle w:val="BodyText"/>
      </w:pPr>
      <w:r w:rsidRPr="004F1DA6">
        <w:t>The unit is suitable for those with basic skills and knowledge undertaking routine work t</w:t>
      </w:r>
      <w:r w:rsidRPr="004F1DA6">
        <w:t>asks under the direction of more experienced workers.</w:t>
      </w:r>
    </w:p>
    <w:p w:rsidR="00000000" w:rsidRPr="004F1DA6" w:rsidP="00B55580">
      <w:pPr>
        <w:pStyle w:val="BodyText"/>
      </w:pPr>
      <w:r w:rsidRPr="004F1DA6">
        <w:t>Completion of the general construction industry training program specified by the model Code of Practice for Construction Work is required for any person who is to carry out construction work.  Achievem</w:t>
      </w:r>
      <w:r w:rsidRPr="004F1DA6">
        <w:t xml:space="preserve">ent of CPCWHS1001 </w:t>
      </w:r>
      <w:r w:rsidRPr="004F1DA6">
        <w:rPr>
          <w:rStyle w:val="Emphasis"/>
        </w:rPr>
        <w:t>Prepare to work safely in the construction industry</w:t>
      </w:r>
      <w:r w:rsidRPr="004F1DA6">
        <w:t xml:space="preserve"> meets this requirement.</w:t>
      </w:r>
    </w:p>
    <w:p w:rsidR="00000000" w:rsidRPr="004F1DA6" w:rsidP="00B55580">
      <w:pPr>
        <w:pStyle w:val="BodyText"/>
      </w:pPr>
      <w:r w:rsidRPr="004F1DA6">
        <w:t>No licensing, legislative or certification requirements apply to this unit at the time of publication.</w:t>
      </w:r>
    </w:p>
    <w:p w:rsidR="00000000" w:rsidRPr="004F1DA6" w:rsidP="004F1DA6">
      <w:pPr>
        <w:pStyle w:val="Heading1"/>
      </w:pPr>
      <w:bookmarkStart w:id="3" w:name="O_1291035"/>
      <w:bookmarkEnd w:id="3"/>
      <w:r w:rsidRPr="004F1DA6">
        <w:t>Pre-requisite Unit</w:t>
      </w:r>
    </w:p>
    <w:tbl>
      <w:tblPr>
        <w:tblW w:w="0" w:type="auto"/>
        <w:tblLayout w:type="fixed"/>
        <w:tblCellMar>
          <w:left w:w="62" w:type="dxa"/>
          <w:right w:w="62" w:type="dxa"/>
        </w:tblCellMar>
        <w:tblLook w:val="0000"/>
      </w:tblPr>
      <w:tblGrid>
        <w:gridCol w:w="1650"/>
        <w:gridCol w:w="7422"/>
      </w:tblGrid>
      <w:tr w:rsidTr="004F1DA6">
        <w:tblPrEx>
          <w:tblW w:w="0" w:type="auto"/>
          <w:tblLayout w:type="fixed"/>
          <w:tblCellMar>
            <w:left w:w="62" w:type="dxa"/>
            <w:right w:w="62" w:type="dxa"/>
          </w:tblCellMar>
          <w:tblLook w:val="0000"/>
        </w:tblPrEx>
        <w:tc>
          <w:tcPr>
            <w:tcW w:w="1650"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CPCCWHS2001</w:t>
            </w:r>
          </w:p>
        </w:tc>
        <w:tc>
          <w:tcPr>
            <w:tcW w:w="7422" w:type="dxa"/>
            <w:tcBorders>
              <w:top w:val="nil"/>
              <w:left w:val="nil"/>
              <w:bottom w:val="nil"/>
              <w:right w:val="nil"/>
            </w:tcBorders>
            <w:tcMar>
              <w:top w:w="0" w:type="dxa"/>
              <w:left w:w="62" w:type="dxa"/>
              <w:bottom w:w="0" w:type="dxa"/>
              <w:right w:w="62" w:type="dxa"/>
            </w:tcMar>
          </w:tcPr>
          <w:p w:rsidR="00000000" w:rsidRPr="004F1DA6" w:rsidP="004F1DA6">
            <w:pPr>
              <w:pStyle w:val="BodyText"/>
            </w:pPr>
            <w:r w:rsidRPr="004F1DA6">
              <w:t>Apply WHS requirements, policies and procedures in the construction industry</w:t>
            </w:r>
          </w:p>
        </w:tc>
      </w:tr>
    </w:tbl>
    <w:p w:rsidR="00000000" w:rsidRPr="004F1DA6" w:rsidP="004F1DA6">
      <w:pPr>
        <w:pStyle w:val="BodyText"/>
      </w:pPr>
    </w:p>
    <w:p w:rsidR="00000000" w:rsidRPr="004F1DA6" w:rsidP="004F1DA6">
      <w:pPr>
        <w:pStyle w:val="AllowPageBreak"/>
      </w:pPr>
    </w:p>
    <w:p w:rsidR="00000000" w:rsidRPr="004F1DA6" w:rsidP="004F1DA6">
      <w:pPr>
        <w:pStyle w:val="Heading1"/>
      </w:pPr>
      <w:bookmarkStart w:id="4" w:name="O_1291034"/>
      <w:bookmarkEnd w:id="4"/>
      <w:r w:rsidRPr="004F1DA6">
        <w:t>Unit Sector</w:t>
      </w:r>
    </w:p>
    <w:p w:rsidR="00000000" w:rsidRPr="004F1DA6" w:rsidP="00B55580">
      <w:pPr>
        <w:pStyle w:val="BodyText"/>
      </w:pPr>
      <w:r w:rsidRPr="004F1DA6">
        <w:t>Painting and Decorating</w:t>
      </w:r>
    </w:p>
    <w:p w:rsidR="00000000" w:rsidRPr="004F1DA6" w:rsidP="004F1DA6">
      <w:pPr>
        <w:pStyle w:val="Heading1"/>
      </w:pPr>
      <w:bookmarkStart w:id="5" w:name="O_1291033"/>
      <w:bookmarkEnd w:id="5"/>
      <w:r w:rsidRPr="004F1DA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F1DA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Performance criteria descr</w:t>
            </w:r>
            <w:r w:rsidRPr="004F1DA6">
              <w:t>ibe what needs to be done to demonstrate achievement of the element.</w:t>
            </w:r>
          </w:p>
        </w:tc>
      </w:tr>
      <w:tr w:rsidTr="004F1DA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1</w:t>
            </w:r>
          </w:p>
        </w:tc>
        <w:tc>
          <w:tcPr>
            <w:tcW w:w="2357" w:type="dxa"/>
            <w:vMerge w:val="restart"/>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Plan and prepare.</w:t>
            </w:r>
          </w:p>
        </w:tc>
        <w:tc>
          <w:tcPr>
            <w:tcW w:w="804"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1.1</w:t>
            </w:r>
          </w:p>
        </w:tc>
        <w:tc>
          <w:tcPr>
            <w:tcW w:w="5659"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Review work instructions to handle painting and decorating materials.</w:t>
            </w:r>
          </w:p>
        </w:tc>
      </w:tr>
      <w:tr w:rsidTr="004F1D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1.2</w:t>
            </w:r>
          </w:p>
        </w:tc>
        <w:tc>
          <w:tcPr>
            <w:tcW w:w="5659"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Plan all work to meet relevant requirements of work health and safety (WHS), Commonwealth and state or territory legislation, environmental plans and obligations, manufacturers’ specifications, and workplace requirements.</w:t>
            </w:r>
          </w:p>
        </w:tc>
      </w:tr>
      <w:tr w:rsidTr="004F1D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1.3</w:t>
            </w:r>
          </w:p>
        </w:tc>
        <w:tc>
          <w:tcPr>
            <w:tcW w:w="5659"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Select and fit personal protective equipment (PPE) as required for each task.</w:t>
            </w:r>
          </w:p>
        </w:tc>
      </w:tr>
      <w:tr w:rsidTr="004F1D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1.4</w:t>
            </w:r>
          </w:p>
        </w:tc>
        <w:tc>
          <w:tcPr>
            <w:tcW w:w="5659"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Inspect work site, assess hazards and apply risk controls, including required signage and barricades.</w:t>
            </w:r>
          </w:p>
        </w:tc>
      </w:tr>
      <w:tr w:rsidTr="004F1D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1.5</w:t>
            </w:r>
          </w:p>
        </w:tc>
        <w:tc>
          <w:tcPr>
            <w:tcW w:w="5659"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Select tools and equipment, check for serviceability and recti</w:t>
            </w:r>
            <w:r w:rsidRPr="004F1DA6">
              <w:t>fy/report any faults.</w:t>
            </w:r>
          </w:p>
        </w:tc>
      </w:tr>
      <w:tr w:rsidTr="004F1DA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F1DA6">
            <w:pPr>
              <w:pStyle w:val="BodyText"/>
              <w:rPr>
                <w:lang w:val="en-NZ"/>
              </w:rPr>
            </w:pPr>
          </w:p>
        </w:tc>
      </w:tr>
      <w:tr w:rsidTr="004F1DA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2</w:t>
            </w:r>
          </w:p>
        </w:tc>
        <w:tc>
          <w:tcPr>
            <w:tcW w:w="2357" w:type="dxa"/>
            <w:vMerge w:val="restart"/>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Identify, handle and store painting and decorating materials and components.</w:t>
            </w:r>
          </w:p>
        </w:tc>
        <w:tc>
          <w:tcPr>
            <w:tcW w:w="804"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2.1</w:t>
            </w:r>
          </w:p>
        </w:tc>
        <w:tc>
          <w:tcPr>
            <w:tcW w:w="5659"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Check materials and components for conformity to material schedule, plans, specifications and environmental characteristics.</w:t>
            </w:r>
          </w:p>
        </w:tc>
      </w:tr>
      <w:tr w:rsidTr="004F1D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2.2</w:t>
            </w:r>
          </w:p>
        </w:tc>
        <w:tc>
          <w:tcPr>
            <w:tcW w:w="5659"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Identify handling characteristics of materials and components from safety data sheets (SDS) and regulatory requirements and use safe and effective handling techniques.</w:t>
            </w:r>
          </w:p>
        </w:tc>
      </w:tr>
      <w:tr w:rsidTr="004F1D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2.3</w:t>
            </w:r>
          </w:p>
        </w:tc>
        <w:tc>
          <w:tcPr>
            <w:tcW w:w="5659"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Check that storage locations meet fire safety, ventilation and product-dispersal requirements.</w:t>
            </w:r>
          </w:p>
        </w:tc>
      </w:tr>
      <w:tr w:rsidTr="004F1D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2.4</w:t>
            </w:r>
          </w:p>
        </w:tc>
        <w:tc>
          <w:tcPr>
            <w:tcW w:w="5659"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Sort materials by type and size and stack for ease of identification and retrieval.</w:t>
            </w:r>
          </w:p>
        </w:tc>
      </w:tr>
      <w:tr w:rsidTr="004F1D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2.5</w:t>
            </w:r>
          </w:p>
        </w:tc>
        <w:tc>
          <w:tcPr>
            <w:tcW w:w="5659"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Protect material and components against physical and water dama</w:t>
            </w:r>
            <w:r w:rsidRPr="004F1DA6">
              <w:t>ge and store clear of traffic ways.</w:t>
            </w:r>
          </w:p>
        </w:tc>
      </w:tr>
      <w:tr w:rsidTr="004F1DA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F1DA6">
            <w:pPr>
              <w:pStyle w:val="BodyText"/>
              <w:rPr>
                <w:lang w:val="en-NZ"/>
              </w:rPr>
            </w:pPr>
          </w:p>
        </w:tc>
      </w:tr>
      <w:tr w:rsidTr="004F1DA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3</w:t>
            </w:r>
          </w:p>
        </w:tc>
        <w:tc>
          <w:tcPr>
            <w:tcW w:w="2357" w:type="dxa"/>
            <w:vMerge w:val="restart"/>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Select and distribute materials and components for use.</w:t>
            </w:r>
          </w:p>
        </w:tc>
        <w:tc>
          <w:tcPr>
            <w:tcW w:w="804"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3.1</w:t>
            </w:r>
          </w:p>
        </w:tc>
        <w:tc>
          <w:tcPr>
            <w:tcW w:w="5659"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Select, safely handle and distribute materials from stack to required job location.</w:t>
            </w:r>
          </w:p>
        </w:tc>
      </w:tr>
      <w:tr w:rsidTr="004F1D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3.2</w:t>
            </w:r>
          </w:p>
        </w:tc>
        <w:tc>
          <w:tcPr>
            <w:tcW w:w="5659"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Store materials to best serve their subsequent use.</w:t>
            </w:r>
          </w:p>
        </w:tc>
      </w:tr>
      <w:tr w:rsidTr="004F1D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3.3</w:t>
            </w:r>
          </w:p>
        </w:tc>
        <w:tc>
          <w:tcPr>
            <w:tcW w:w="5659"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Prepare work areas, including removing objects and using drop sheets to protect surrounding surfaces.</w:t>
            </w:r>
          </w:p>
        </w:tc>
      </w:tr>
      <w:tr w:rsidTr="004F1DA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F1DA6">
            <w:pPr>
              <w:pStyle w:val="BodyText"/>
              <w:rPr>
                <w:lang w:val="en-NZ"/>
              </w:rPr>
            </w:pPr>
          </w:p>
        </w:tc>
      </w:tr>
      <w:tr w:rsidTr="004F1DA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4</w:t>
            </w:r>
          </w:p>
        </w:tc>
        <w:tc>
          <w:tcPr>
            <w:tcW w:w="2357" w:type="dxa"/>
            <w:vMerge w:val="restart"/>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Clean up.</w:t>
            </w:r>
          </w:p>
        </w:tc>
        <w:tc>
          <w:tcPr>
            <w:tcW w:w="804"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4.1</w:t>
            </w:r>
          </w:p>
        </w:tc>
        <w:tc>
          <w:tcPr>
            <w:tcW w:w="5659"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Clean up in accordance with all legislative and workplace requirements for safety, waste disposal, safe handling and protection of t</w:t>
            </w:r>
            <w:r w:rsidRPr="004F1DA6">
              <w:t>he environment.</w:t>
            </w:r>
          </w:p>
        </w:tc>
      </w:tr>
      <w:tr w:rsidTr="004F1D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4.2</w:t>
            </w:r>
          </w:p>
        </w:tc>
        <w:tc>
          <w:tcPr>
            <w:tcW w:w="5659"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Identify hazardous material for separate handling by authorised personnel.</w:t>
            </w:r>
          </w:p>
        </w:tc>
      </w:tr>
      <w:tr w:rsidTr="004F1D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4.3</w:t>
            </w:r>
          </w:p>
        </w:tc>
        <w:tc>
          <w:tcPr>
            <w:tcW w:w="5659"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Clear work area, reuse or recycle materials and place waste and unwanted materials into job waste bins or rubbish stockpile.</w:t>
            </w:r>
          </w:p>
        </w:tc>
      </w:tr>
      <w:tr w:rsidTr="004F1D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4.4</w:t>
            </w:r>
          </w:p>
        </w:tc>
        <w:tc>
          <w:tcPr>
            <w:tcW w:w="5659"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 xml:space="preserve">Check and maintain tools and equipment and clean with appropriate solvents. </w:t>
            </w:r>
          </w:p>
        </w:tc>
      </w:tr>
      <w:tr w:rsidTr="004F1D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4.5</w:t>
            </w:r>
          </w:p>
        </w:tc>
        <w:tc>
          <w:tcPr>
            <w:tcW w:w="5659"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Dispose of paint waste and of water and solvents used in cleaning tools and equipment in an environmentally sustainable manner.</w:t>
            </w:r>
          </w:p>
        </w:tc>
      </w:tr>
      <w:tr w:rsidTr="004F1D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4.6</w:t>
            </w:r>
          </w:p>
        </w:tc>
        <w:tc>
          <w:tcPr>
            <w:tcW w:w="5659" w:type="dxa"/>
            <w:tcBorders>
              <w:top w:val="nil"/>
              <w:left w:val="nil"/>
              <w:bottom w:val="nil"/>
              <w:right w:val="nil"/>
            </w:tcBorders>
            <w:tcMar>
              <w:top w:w="0" w:type="dxa"/>
              <w:left w:w="62" w:type="dxa"/>
              <w:bottom w:w="0" w:type="dxa"/>
              <w:right w:w="62" w:type="dxa"/>
            </w:tcMar>
          </w:tcPr>
          <w:p w:rsidR="00000000" w:rsidRPr="004F1DA6" w:rsidP="004F1DA6">
            <w:pPr>
              <w:pStyle w:val="BodyText"/>
            </w:pPr>
            <w:r w:rsidRPr="004F1DA6">
              <w:t>Store tools, equipment and sealed unused materials to avoid spontaneous ignition.</w:t>
            </w:r>
          </w:p>
        </w:tc>
      </w:tr>
    </w:tbl>
    <w:p w:rsidR="00000000" w:rsidRPr="004F1DA6" w:rsidP="004F1DA6">
      <w:pPr>
        <w:pStyle w:val="BodyText"/>
      </w:pPr>
    </w:p>
    <w:p w:rsidR="00000000" w:rsidRPr="004F1DA6" w:rsidP="004F1DA6">
      <w:pPr>
        <w:pStyle w:val="AllowPageBreak"/>
      </w:pPr>
    </w:p>
    <w:p w:rsidR="00000000" w:rsidRPr="004F1DA6" w:rsidP="004F1DA6">
      <w:pPr>
        <w:pStyle w:val="Heading1"/>
      </w:pPr>
      <w:bookmarkStart w:id="6" w:name="O_1291032"/>
      <w:bookmarkEnd w:id="6"/>
      <w:r w:rsidRPr="004F1DA6">
        <w:t>Foundation Skills</w:t>
      </w:r>
    </w:p>
    <w:p w:rsidR="00000000" w:rsidRPr="004F1DA6" w:rsidP="00B55580">
      <w:pPr>
        <w:pStyle w:val="BodyText"/>
      </w:pPr>
      <w:r w:rsidRPr="004F1DA6">
        <w:t xml:space="preserve">Foundation skills essential to performance are explicit in the performance criteria of this unit of competency. </w:t>
      </w:r>
    </w:p>
    <w:p w:rsidR="00000000" w:rsidRPr="004F1DA6" w:rsidP="004F1DA6">
      <w:pPr>
        <w:pStyle w:val="Heading1"/>
      </w:pPr>
      <w:bookmarkStart w:id="7" w:name="O_1291031"/>
      <w:bookmarkEnd w:id="7"/>
      <w:r w:rsidRPr="004F1DA6">
        <w:t>Uni</w:t>
      </w:r>
      <w:r w:rsidRPr="004F1DA6">
        <w:t>t Mapping Information</w:t>
      </w:r>
    </w:p>
    <w:p w:rsidR="00000000" w:rsidRPr="004F1DA6" w:rsidP="00B55580">
      <w:pPr>
        <w:pStyle w:val="BodyText"/>
      </w:pPr>
      <w:r w:rsidRPr="004F1DA6">
        <w:t>Supersedes and equivalent to CPCCPD2011A Handle painting and decorating materials.</w:t>
      </w:r>
    </w:p>
    <w:p w:rsidR="00000000" w:rsidRPr="004F1DA6" w:rsidP="004F1DA6">
      <w:pPr>
        <w:pStyle w:val="Heading1"/>
      </w:pPr>
      <w:bookmarkStart w:id="8" w:name="O_1291038"/>
      <w:bookmarkEnd w:id="8"/>
      <w:r w:rsidRPr="004F1DA6">
        <w:t>Links</w:t>
      </w:r>
    </w:p>
    <w:p w:rsidR="00000000" w:rsidRPr="004F1DA6" w:rsidP="00B55580">
      <w:pPr>
        <w:pStyle w:val="BodyText"/>
      </w:pPr>
      <w:r w:rsidRPr="004F1DA6">
        <w:t>Companion volumes to this training</w:t>
      </w:r>
      <w:r w:rsidRPr="004F1DA6">
        <w:t xml:space="preserve"> package are available at the VETNet website - </w:t>
      </w:r>
      <w:r>
        <w:fldChar w:fldCharType="begin"/>
      </w:r>
      <w:r>
        <w:instrText xml:space="preserve"> HYPERLINK "https://vetnet.gov.au/Pages/TrainingDocs.aspx?q=7e15fa6a-68b8-4097-b099-030a5569b1ad" </w:instrText>
      </w:r>
      <w:r>
        <w:fldChar w:fldCharType="separate"/>
      </w:r>
      <w:r w:rsidRPr="003C517D">
        <w:rPr>
          <w:rStyle w:val="Hyperlink"/>
        </w:rPr>
        <w:t>https://vetnet.gov.au/Pages/TrainingDocs.aspx?q=7e15fa6a-68b8-4097-b099-030a5569b1ad</w:t>
      </w:r>
      <w:r>
        <w:fldChar w:fldCharType="end"/>
      </w:r>
    </w:p>
    <w:p w:rsidR="00000000" w:rsidRPr="004F1DA6" w:rsidP="00B55580">
      <w:pPr>
        <w:pStyle w:val="BodyText"/>
        <w:sectPr w:rsidSect="004F1DA6">
          <w:headerReference w:type="default" r:id="rId10"/>
          <w:footerReference w:type="default" r:id="rId11"/>
          <w:pgSz w:w="11908" w:h="16833"/>
          <w:pgMar w:top="1702" w:right="1418" w:bottom="1702" w:left="1418" w:header="992" w:footer="992" w:gutter="0"/>
          <w:cols w:space="720"/>
          <w:noEndnote/>
          <w:docGrid w:linePitch="299"/>
        </w:sectPr>
      </w:pPr>
    </w:p>
    <w:p w:rsidR="00000000" w:rsidRPr="004F1DA6" w:rsidP="004F1DA6">
      <w:pPr>
        <w:pStyle w:val="SuperHeading"/>
      </w:pPr>
      <w:r w:rsidRPr="004F1DA6">
        <w:t>Assessment Requirements for CPCCPD2011 Handle and store painting and decorati</w:t>
      </w:r>
      <w:r w:rsidRPr="004F1DA6">
        <w:t>ng materials</w:t>
      </w:r>
    </w:p>
    <w:p w:rsidR="00000000" w:rsidRPr="004F1DA6" w:rsidP="004F1DA6">
      <w:pPr>
        <w:pStyle w:val="Heading1"/>
      </w:pPr>
      <w:bookmarkStart w:id="9" w:name="O_1291029"/>
      <w:bookmarkEnd w:id="9"/>
      <w:r w:rsidRPr="004F1DA6">
        <w:t>Modification History</w:t>
      </w:r>
    </w:p>
    <w:tbl>
      <w:tblPr>
        <w:tblW w:w="0" w:type="auto"/>
        <w:tblLayout w:type="fixed"/>
        <w:tblCellMar>
          <w:left w:w="62" w:type="dxa"/>
          <w:right w:w="62" w:type="dxa"/>
        </w:tblCellMar>
        <w:tblLook w:val="0000"/>
      </w:tblPr>
      <w:tblGrid>
        <w:gridCol w:w="1128"/>
        <w:gridCol w:w="7944"/>
      </w:tblGrid>
      <w:tr w:rsidTr="004F1DA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Release 3</w:t>
            </w:r>
          </w:p>
        </w:tc>
        <w:tc>
          <w:tcPr>
            <w:tcW w:w="7944"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Updated reference to general construction induction training program.</w:t>
            </w:r>
          </w:p>
        </w:tc>
      </w:tr>
      <w:tr w:rsidTr="004F1DA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Release 2</w:t>
            </w:r>
          </w:p>
        </w:tc>
        <w:tc>
          <w:tcPr>
            <w:tcW w:w="7944" w:type="dxa"/>
            <w:tcBorders>
              <w:top w:val="nil"/>
              <w:left w:val="nil"/>
              <w:bottom w:val="nil"/>
              <w:right w:val="nil"/>
            </w:tcBorders>
            <w:tcMar>
              <w:top w:w="0" w:type="dxa"/>
              <w:left w:w="62" w:type="dxa"/>
              <w:bottom w:w="0" w:type="dxa"/>
              <w:right w:w="62" w:type="dxa"/>
            </w:tcMar>
          </w:tcPr>
          <w:p w:rsidR="00000000" w:rsidRPr="004F1DA6" w:rsidP="004F1DA6">
            <w:pPr>
              <w:pStyle w:val="BodyText"/>
            </w:pPr>
            <w:r w:rsidRPr="004F1DA6">
              <w:t>This version first released with CPC Construction, Plumbing and Services Training Package Release 6.4.</w:t>
            </w:r>
          </w:p>
          <w:p w:rsidR="00000000" w:rsidP="004F1DA6">
            <w:pPr>
              <w:pStyle w:val="BodyText"/>
              <w:rPr>
                <w:lang w:val="en-NZ"/>
              </w:rPr>
            </w:pPr>
            <w:r w:rsidRPr="004F1DA6">
              <w:t>Correction</w:t>
            </w:r>
            <w:r w:rsidRPr="004F1DA6">
              <w:t xml:space="preserve"> to Training Package title in the Modification History from CPC Property Services to CPC Construction, Plumbing and Services Training Package.</w:t>
            </w:r>
          </w:p>
        </w:tc>
      </w:tr>
      <w:tr w:rsidTr="004F1DA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F1DA6">
            <w:pPr>
              <w:pStyle w:val="BodyText"/>
              <w:rPr>
                <w:lang w:val="en-NZ"/>
              </w:rPr>
            </w:pPr>
            <w:r w:rsidRPr="004F1DA6">
              <w:t>Release 1</w:t>
            </w:r>
          </w:p>
        </w:tc>
        <w:tc>
          <w:tcPr>
            <w:tcW w:w="7944" w:type="dxa"/>
            <w:tcBorders>
              <w:top w:val="nil"/>
              <w:left w:val="nil"/>
              <w:bottom w:val="nil"/>
              <w:right w:val="nil"/>
            </w:tcBorders>
            <w:tcMar>
              <w:top w:w="0" w:type="dxa"/>
              <w:left w:w="62" w:type="dxa"/>
              <w:bottom w:w="0" w:type="dxa"/>
              <w:right w:w="62" w:type="dxa"/>
            </w:tcMar>
          </w:tcPr>
          <w:p w:rsidR="00000000" w:rsidRPr="004F1DA6" w:rsidP="004F1DA6">
            <w:pPr>
              <w:pStyle w:val="BodyText"/>
            </w:pPr>
            <w:r w:rsidRPr="004F1DA6">
              <w:t>This version first released with CPC Property Services Training Package Release 5.0.</w:t>
            </w:r>
          </w:p>
          <w:p w:rsidR="00000000" w:rsidRPr="004F1DA6" w:rsidP="004F1DA6">
            <w:pPr>
              <w:pStyle w:val="BodyText"/>
            </w:pPr>
            <w:r w:rsidRPr="004F1DA6">
              <w:t>Supersedes and is</w:t>
            </w:r>
            <w:r w:rsidRPr="004F1DA6">
              <w:t xml:space="preserve"> equivalent to CPCCPD2011A Handle painting and decorating materials.  Minor title change.  Updated to meet the Standards for Training Packages 2012.</w:t>
            </w:r>
          </w:p>
        </w:tc>
      </w:tr>
    </w:tbl>
    <w:p w:rsidR="00000000" w:rsidRPr="004F1DA6" w:rsidP="004F1DA6">
      <w:pPr>
        <w:pStyle w:val="BodyText"/>
      </w:pPr>
    </w:p>
    <w:p w:rsidR="00000000" w:rsidRPr="004F1DA6" w:rsidP="004F1DA6">
      <w:pPr>
        <w:pStyle w:val="AllowPageBreak"/>
      </w:pPr>
    </w:p>
    <w:p w:rsidR="00000000" w:rsidRPr="004F1DA6" w:rsidP="004F1DA6">
      <w:pPr>
        <w:pStyle w:val="Heading1"/>
      </w:pPr>
      <w:bookmarkStart w:id="10" w:name="O_1291028"/>
      <w:bookmarkEnd w:id="10"/>
      <w:r w:rsidRPr="004F1DA6">
        <w:t>Performance Evidence</w:t>
      </w:r>
    </w:p>
    <w:p w:rsidR="00000000" w:rsidRPr="004F1DA6" w:rsidP="00B55580">
      <w:pPr>
        <w:pStyle w:val="BodyText"/>
      </w:pPr>
      <w:r w:rsidRPr="004F1DA6">
        <w:t>To demonstrate competency, a candidate must meet the performance criteria of this unit by safely handling and storing painting and decorating materials for two painting and decorating activities, including, on each occasion:</w:t>
      </w:r>
    </w:p>
    <w:p w:rsidR="00000000" w:rsidRPr="004F1DA6" w:rsidP="004F1DA6">
      <w:pPr>
        <w:pStyle w:val="ListBullet"/>
      </w:pPr>
      <w:r w:rsidRPr="004F1DA6">
        <w:t>a range of coatings</w:t>
      </w:r>
    </w:p>
    <w:p w:rsidR="00000000" w:rsidRPr="004F1DA6" w:rsidP="004F1DA6">
      <w:pPr>
        <w:pStyle w:val="ListBullet"/>
      </w:pPr>
      <w:r w:rsidRPr="004F1DA6">
        <w:t>two each o</w:t>
      </w:r>
      <w:r w:rsidRPr="004F1DA6">
        <w:t>f:</w:t>
      </w:r>
    </w:p>
    <w:p w:rsidR="00000000" w:rsidRPr="004F1DA6" w:rsidP="004F1DA6">
      <w:pPr>
        <w:pStyle w:val="ListBullet2"/>
      </w:pPr>
      <w:r w:rsidRPr="004F1DA6">
        <w:t>cleaning solvents</w:t>
      </w:r>
    </w:p>
    <w:p w:rsidR="00000000" w:rsidRPr="004F1DA6" w:rsidP="004F1DA6">
      <w:pPr>
        <w:pStyle w:val="ListBullet2"/>
      </w:pPr>
      <w:r w:rsidRPr="004F1DA6">
        <w:t>fillers</w:t>
      </w:r>
    </w:p>
    <w:p w:rsidR="00000000" w:rsidRPr="004F1DA6" w:rsidP="004F1DA6">
      <w:pPr>
        <w:pStyle w:val="ListBullet2"/>
      </w:pPr>
      <w:r w:rsidRPr="004F1DA6">
        <w:t>adhesives</w:t>
      </w:r>
    </w:p>
    <w:p w:rsidR="00000000" w:rsidRPr="004F1DA6" w:rsidP="004F1DA6">
      <w:pPr>
        <w:pStyle w:val="ListBullet"/>
      </w:pPr>
      <w:r w:rsidRPr="004F1DA6">
        <w:t>wall and decorative covering materials.</w:t>
      </w:r>
    </w:p>
    <w:p w:rsidR="00000000" w:rsidRPr="004F1DA6" w:rsidP="00B55580">
      <w:pPr>
        <w:pStyle w:val="BodyText"/>
      </w:pPr>
      <w:r w:rsidRPr="004F1DA6">
        <w:t>All work must be performed to the standard required in the workplace and must meet the requirements of work health and safety (WHS), Commonwealth and state or territory legisl</w:t>
      </w:r>
      <w:r w:rsidRPr="004F1DA6">
        <w:t>ation, manufacturers’ specifications and environmental plans and obligations.</w:t>
      </w:r>
    </w:p>
    <w:p w:rsidR="00000000" w:rsidRPr="004F1DA6" w:rsidP="004F1DA6">
      <w:pPr>
        <w:pStyle w:val="Heading1"/>
      </w:pPr>
      <w:bookmarkStart w:id="11" w:name="O_1291027"/>
      <w:bookmarkEnd w:id="11"/>
      <w:r w:rsidRPr="004F1DA6">
        <w:t>Knowledge Evidence</w:t>
      </w:r>
    </w:p>
    <w:p w:rsidR="00000000" w:rsidRPr="004F1DA6" w:rsidP="00B55580">
      <w:pPr>
        <w:pStyle w:val="BodyText"/>
      </w:pPr>
      <w:r w:rsidRPr="004F1DA6">
        <w:t>To be competent in this unit, a candidate must demonstrate knowledge of:</w:t>
      </w:r>
    </w:p>
    <w:p w:rsidR="00000000" w:rsidRPr="004F1DA6" w:rsidP="004F1DA6">
      <w:pPr>
        <w:pStyle w:val="ListBullet"/>
      </w:pPr>
      <w:r w:rsidRPr="004F1DA6">
        <w:t>safety data sheets (SDS)</w:t>
      </w:r>
    </w:p>
    <w:p w:rsidR="00000000" w:rsidRPr="004F1DA6" w:rsidP="004F1DA6">
      <w:pPr>
        <w:pStyle w:val="ListBullet"/>
      </w:pPr>
      <w:r w:rsidRPr="004F1DA6">
        <w:t>safety requirements relevant to handling and storing painting and decorating materials</w:t>
      </w:r>
    </w:p>
    <w:p w:rsidR="00000000" w:rsidRPr="004F1DA6" w:rsidP="004F1DA6">
      <w:pPr>
        <w:pStyle w:val="ListBullet"/>
      </w:pPr>
      <w:r w:rsidRPr="004F1DA6">
        <w:t>environmental requirements relevant to handling and storing painting and decorating materials</w:t>
      </w:r>
    </w:p>
    <w:p w:rsidR="00000000" w:rsidRPr="004F1DA6" w:rsidP="004F1DA6">
      <w:pPr>
        <w:pStyle w:val="ListBullet"/>
      </w:pPr>
      <w:r w:rsidRPr="004F1DA6">
        <w:t>waste management, including:</w:t>
      </w:r>
    </w:p>
    <w:p w:rsidR="00000000" w:rsidRPr="004F1DA6" w:rsidP="004F1DA6">
      <w:pPr>
        <w:pStyle w:val="ListBullet2"/>
      </w:pPr>
      <w:r w:rsidRPr="004F1DA6">
        <w:t>solid waste and paint sludge disposal techniq</w:t>
      </w:r>
      <w:r w:rsidRPr="004F1DA6">
        <w:t xml:space="preserve">ues relating to relevant legislation, local council regulations and Environmental Protection Authority (EPA) </w:t>
      </w:r>
    </w:p>
    <w:p w:rsidR="00000000" w:rsidRPr="004F1DA6" w:rsidP="004F1DA6">
      <w:pPr>
        <w:pStyle w:val="ListBullet2"/>
      </w:pPr>
      <w:r w:rsidRPr="004F1DA6">
        <w:t>alternative and natural paint and paint materials</w:t>
      </w:r>
    </w:p>
    <w:p w:rsidR="00000000" w:rsidRPr="004F1DA6" w:rsidP="004F1DA6">
      <w:pPr>
        <w:pStyle w:val="ListBullet"/>
      </w:pPr>
      <w:r w:rsidRPr="004F1DA6">
        <w:t>basic spontaneous combustion theory, causes and controls of spontaneous ignition</w:t>
      </w:r>
    </w:p>
    <w:p w:rsidR="00000000" w:rsidRPr="004F1DA6" w:rsidP="004F1DA6">
      <w:pPr>
        <w:pStyle w:val="ListBullet"/>
      </w:pPr>
      <w:r w:rsidRPr="004F1DA6">
        <w:t>types of paint</w:t>
      </w:r>
      <w:r w:rsidRPr="004F1DA6">
        <w:t>s, including the characteristics and uses of paint materials with various volatile organic compound (VOC) levels and alternative and natural paints</w:t>
      </w:r>
    </w:p>
    <w:p w:rsidR="00000000" w:rsidRPr="004F1DA6" w:rsidP="004F1DA6">
      <w:pPr>
        <w:pStyle w:val="ListBullet2"/>
      </w:pPr>
      <w:r w:rsidRPr="004F1DA6">
        <w:t>materials:</w:t>
      </w:r>
    </w:p>
    <w:p w:rsidR="00000000" w:rsidRPr="004F1DA6" w:rsidP="004F1DA6">
      <w:pPr>
        <w:pStyle w:val="ListBullet3"/>
      </w:pPr>
      <w:r w:rsidRPr="004F1DA6">
        <w:t>paints:</w:t>
      </w:r>
    </w:p>
    <w:p w:rsidR="00000000" w:rsidRPr="004F1DA6" w:rsidP="004F1DA6">
      <w:pPr>
        <w:pStyle w:val="ListBullet4"/>
      </w:pPr>
      <w:r w:rsidRPr="004F1DA6">
        <w:t>water-based</w:t>
      </w:r>
    </w:p>
    <w:p w:rsidR="00000000" w:rsidRPr="004F1DA6" w:rsidP="004F1DA6">
      <w:pPr>
        <w:pStyle w:val="ListBullet4"/>
      </w:pPr>
      <w:r w:rsidRPr="004F1DA6">
        <w:t>solvent-based</w:t>
      </w:r>
    </w:p>
    <w:p w:rsidR="00000000" w:rsidRPr="004F1DA6" w:rsidP="004F1DA6">
      <w:pPr>
        <w:pStyle w:val="ListBullet4"/>
      </w:pPr>
      <w:r w:rsidRPr="004F1DA6">
        <w:t>two-pack</w:t>
      </w:r>
    </w:p>
    <w:p w:rsidR="00000000" w:rsidRPr="004F1DA6" w:rsidP="004F1DA6">
      <w:pPr>
        <w:pStyle w:val="ListBullet4"/>
      </w:pPr>
      <w:r w:rsidRPr="004F1DA6">
        <w:t>textures</w:t>
      </w:r>
    </w:p>
    <w:p w:rsidR="00000000" w:rsidRPr="004F1DA6" w:rsidP="004F1DA6">
      <w:pPr>
        <w:pStyle w:val="ListBullet3"/>
      </w:pPr>
      <w:r w:rsidRPr="004F1DA6">
        <w:t>cleaning solvents</w:t>
      </w:r>
    </w:p>
    <w:p w:rsidR="00000000" w:rsidRPr="004F1DA6" w:rsidP="004F1DA6">
      <w:pPr>
        <w:pStyle w:val="ListBullet3"/>
      </w:pPr>
      <w:r w:rsidRPr="004F1DA6">
        <w:t>coatings</w:t>
      </w:r>
    </w:p>
    <w:p w:rsidR="00000000" w:rsidRPr="004F1DA6" w:rsidP="004F1DA6">
      <w:pPr>
        <w:pStyle w:val="ListBullet3"/>
      </w:pPr>
      <w:r w:rsidRPr="004F1DA6">
        <w:t>fillers and adhesives</w:t>
      </w:r>
    </w:p>
    <w:p w:rsidR="00000000" w:rsidRPr="004F1DA6" w:rsidP="004F1DA6">
      <w:pPr>
        <w:pStyle w:val="ListBullet3"/>
      </w:pPr>
      <w:r w:rsidRPr="004F1DA6">
        <w:t>wall and decorative covering materials</w:t>
      </w:r>
    </w:p>
    <w:p w:rsidR="00000000" w:rsidRPr="004F1DA6" w:rsidP="004F1DA6">
      <w:pPr>
        <w:pStyle w:val="ListBullet"/>
      </w:pPr>
      <w:r w:rsidRPr="004F1DA6">
        <w:t xml:space="preserve">quality requirements for handling painting and decorating materials </w:t>
      </w:r>
    </w:p>
    <w:p w:rsidR="00000000" w:rsidRPr="004F1DA6" w:rsidP="004F1DA6">
      <w:pPr>
        <w:pStyle w:val="ListBullet"/>
      </w:pPr>
      <w:r w:rsidRPr="004F1DA6">
        <w:t>types, titles, packaging and storage requirements for common painting and decorating materials</w:t>
      </w:r>
    </w:p>
    <w:p w:rsidR="00000000" w:rsidRPr="004F1DA6" w:rsidP="004F1DA6">
      <w:pPr>
        <w:pStyle w:val="ListBullet"/>
      </w:pPr>
      <w:r w:rsidRPr="004F1DA6">
        <w:t>painting and decorating terminology</w:t>
      </w:r>
    </w:p>
    <w:p w:rsidR="00000000" w:rsidRPr="004F1DA6" w:rsidP="004F1DA6">
      <w:pPr>
        <w:pStyle w:val="ListBullet"/>
      </w:pPr>
      <w:r w:rsidRPr="004F1DA6">
        <w:t>Australian Paint Approval Scheme (APAS) classifications.</w:t>
      </w:r>
    </w:p>
    <w:p w:rsidR="00000000" w:rsidRPr="004F1DA6" w:rsidP="004F1DA6">
      <w:pPr>
        <w:pStyle w:val="AllowPageBreak"/>
      </w:pPr>
    </w:p>
    <w:p w:rsidR="00000000" w:rsidRPr="004F1DA6" w:rsidP="004F1DA6">
      <w:pPr>
        <w:pStyle w:val="Heading1"/>
      </w:pPr>
      <w:bookmarkStart w:id="12" w:name="O_1291026"/>
      <w:bookmarkEnd w:id="12"/>
      <w:r w:rsidRPr="004F1DA6">
        <w:t>Assessment Conditions</w:t>
      </w:r>
    </w:p>
    <w:p w:rsidR="00000000" w:rsidRPr="004F1DA6" w:rsidP="00B55580">
      <w:pPr>
        <w:pStyle w:val="BodyText"/>
      </w:pPr>
      <w:r w:rsidRPr="004F1DA6">
        <w:t xml:space="preserve">Assessors must meet the requirements for assessors contained in the Standards for Registered Training Organisations. </w:t>
      </w:r>
    </w:p>
    <w:p w:rsidR="00000000" w:rsidRPr="004F1DA6" w:rsidP="00B55580">
      <w:pPr>
        <w:pStyle w:val="BodyText"/>
      </w:pPr>
      <w:r w:rsidRPr="004F1DA6">
        <w:t>This</w:t>
      </w:r>
      <w:r w:rsidRPr="004F1DA6">
        <w:t xml:space="preserve"> unit must be assessed: </w:t>
      </w:r>
    </w:p>
    <w:p w:rsidR="00000000" w:rsidRPr="004F1DA6" w:rsidP="004F1DA6">
      <w:pPr>
        <w:pStyle w:val="ListBullet"/>
      </w:pPr>
      <w:r w:rsidRPr="004F1DA6">
        <w:t>in the workplace or a close simulation of the workplace environment, provided that simulated or project-based assessment techniques replicate construction workplace conditions, materials, activities, responsibilities and procedure</w:t>
      </w:r>
      <w:r w:rsidRPr="004F1DA6">
        <w:t>s</w:t>
      </w:r>
    </w:p>
    <w:p w:rsidR="00000000" w:rsidRPr="004F1DA6" w:rsidP="004F1DA6">
      <w:pPr>
        <w:pStyle w:val="ListBullet"/>
      </w:pPr>
      <w:r w:rsidRPr="004F1DA6">
        <w:t>using realistic tasks or simulated tasks, relevant specifications and work instructions, standard work practices, safety requirements and environmental constraints.</w:t>
      </w:r>
    </w:p>
    <w:p w:rsidR="00000000" w:rsidRPr="004F1DA6" w:rsidP="004F1DA6">
      <w:pPr>
        <w:pStyle w:val="AllowPageBreak"/>
      </w:pPr>
    </w:p>
    <w:p w:rsidR="00000000" w:rsidRPr="004F1DA6" w:rsidP="004F1DA6">
      <w:pPr>
        <w:pStyle w:val="Heading1"/>
      </w:pPr>
      <w:bookmarkStart w:id="13" w:name="O_1291039"/>
      <w:bookmarkEnd w:id="13"/>
      <w:r w:rsidRPr="004F1DA6">
        <w:t>Links</w:t>
      </w:r>
    </w:p>
    <w:p w:rsidR="00000000" w:rsidRPr="004F1DA6" w:rsidP="00B55580">
      <w:pPr>
        <w:pStyle w:val="BodyText"/>
      </w:pPr>
      <w:r w:rsidRPr="004F1DA6">
        <w:t xml:space="preserve">Companion volumes to this training package are available at the </w:t>
      </w:r>
      <w:r w:rsidRPr="004F1DA6">
        <w:t xml:space="preserve">VETNet website - </w:t>
      </w:r>
      <w:r>
        <w:fldChar w:fldCharType="begin"/>
      </w:r>
      <w:r>
        <w:instrText xml:space="preserve"> HYPERLINK "https://vetnet.gov.au/Pages/TrainingDocs.aspx?q=7e15fa6a-68b8-4097-b099-030a5569b1ad" </w:instrText>
      </w:r>
      <w:r>
        <w:fldChar w:fldCharType="separate"/>
      </w:r>
      <w:r w:rsidRPr="003C517D">
        <w:rPr>
          <w:rStyle w:val="Hyperlink"/>
        </w:rPr>
        <w:t>https://vetnet.gov.au/Pages/TrainingDocs.aspx?q=7e15fa6a-68b8-4097-b099-030a5569b1ad</w:t>
      </w:r>
      <w:r>
        <w:fldChar w:fldCharType="end"/>
      </w:r>
    </w:p>
    <w:p w:rsidR="00000000" w:rsidRPr="004F1DA6" w:rsidP="004F1DA6"/>
    <w:sectPr w:rsidSect="004F1D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D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DA6" w:rsidRPr="00B55580" w:rsidP="00B555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D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580" w:rsidP="004F1D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5580" w:rsidP="004F1D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55580" w:rsidP="004F1D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DA6" w:rsidP="004F1DA6">
    <w:pPr>
      <w:pStyle w:val="Footer"/>
      <w:framePr w:wrap="around"/>
    </w:pPr>
    <w:r>
      <w:fldChar w:fldCharType="begin"/>
    </w:r>
    <w:r>
      <w:instrText xml:space="preserve"> DOCPROPERTY  Subject  \* MERGEFORMAT </w:instrText>
    </w:r>
    <w:r>
      <w:fldChar w:fldCharType="separate"/>
    </w:r>
    <w:r w:rsidR="00B55580">
      <w:t>Approved</w:t>
    </w:r>
    <w:r w:rsidR="00B55580">
      <w:fldChar w:fldCharType="end"/>
    </w:r>
    <w:r>
      <w:tab/>
      <w:t xml:space="preserve">Page </w:t>
    </w:r>
    <w:r>
      <w:fldChar w:fldCharType="begin"/>
    </w:r>
    <w:r>
      <w:instrText xml:space="preserve"> PAGE  \* Arabic  \* MERGEFORMAT </w:instrText>
    </w:r>
    <w:r>
      <w:fldChar w:fldCharType="separate"/>
    </w:r>
    <w:r w:rsidR="00B555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5580">
      <w:rPr>
        <w:noProof/>
      </w:rPr>
      <w:t>4</w:t>
    </w:r>
    <w:r>
      <w:rPr>
        <w:noProof/>
      </w:rPr>
      <w:fldChar w:fldCharType="end"/>
    </w:r>
  </w:p>
  <w:p w:rsidR="004F1DA6" w:rsidP="004F1DA6">
    <w:pPr>
      <w:pStyle w:val="Footer"/>
      <w:framePr w:wrap="around"/>
    </w:pPr>
    <w:r>
      <w:t xml:space="preserve">© Commonwealth of Australia, </w:t>
    </w:r>
    <w:r>
      <w:fldChar w:fldCharType="begin"/>
    </w:r>
    <w:r>
      <w:instrText xml:space="preserve"> DATE  \@ "yyyy"  \* MERGEFORMAT </w:instrText>
    </w:r>
    <w:r>
      <w:fldChar w:fldCharType="separate"/>
    </w:r>
    <w:r w:rsidR="00B55580">
      <w:rPr>
        <w:noProof/>
      </w:rPr>
      <w:t>2025</w:t>
    </w:r>
    <w:r>
      <w:fldChar w:fldCharType="end"/>
    </w:r>
    <w:r>
      <w:tab/>
    </w:r>
    <w:r>
      <w:fldChar w:fldCharType="begin"/>
    </w:r>
    <w:r>
      <w:instrText xml:space="preserve"> DOCPROPERTY  Author  \* MERGEFORMAT </w:instrText>
    </w:r>
    <w:r>
      <w:fldChar w:fldCharType="separate"/>
    </w:r>
    <w:r w:rsidR="00B55580">
      <w:t>BuildSkills Australia</w:t>
    </w:r>
    <w:r w:rsidR="00B55580">
      <w:fldChar w:fldCharType="end"/>
    </w:r>
  </w:p>
  <w:p w:rsidR="004F1DA6" w:rsidP="004F1D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D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5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1DA6" w:rsidRPr="00B55580" w:rsidP="00B555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D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580" w:rsidRPr="002D2AF8" w:rsidP="004F1DA6">
    <w:pPr>
      <w:pStyle w:val="Header"/>
      <w:framePr w:wrap="around"/>
    </w:pPr>
    <w:r>
      <w:fldChar w:fldCharType="begin"/>
    </w:r>
    <w:r>
      <w:instrText xml:space="preserve"> TITLE   \* MERGEFORMAT </w:instrText>
    </w:r>
    <w:r>
      <w:fldChar w:fldCharType="separate"/>
    </w:r>
    <w:r>
      <w:t>CPCCPD2011 Handle and store painting and decorating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5580" w:rsidP="004F1D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DA6" w:rsidRPr="002D2AF8" w:rsidP="004F1DA6">
    <w:pPr>
      <w:pStyle w:val="Header"/>
      <w:framePr w:wrap="around"/>
    </w:pPr>
    <w:r>
      <w:fldChar w:fldCharType="begin"/>
    </w:r>
    <w:r>
      <w:instrText xml:space="preserve"> TITLE   \* MERGEFORMAT </w:instrText>
    </w:r>
    <w:r>
      <w:fldChar w:fldCharType="separate"/>
    </w:r>
    <w:r w:rsidR="00B55580">
      <w:t>CPCCPD2011 Handle and store painting and decorating materials</w:t>
    </w:r>
    <w:r w:rsidR="00B55580">
      <w:fldChar w:fldCharType="end"/>
    </w:r>
    <w:r>
      <w:tab/>
      <w:t xml:space="preserve">Date this document was generated: </w:t>
    </w:r>
    <w:r>
      <w:fldChar w:fldCharType="begin"/>
    </w:r>
    <w:r>
      <w:instrText xml:space="preserve"> CREATEDATE  \@ "d MMMM yyyy"  \* MERGEFORMAT </w:instrText>
    </w:r>
    <w:r>
      <w:fldChar w:fldCharType="separate"/>
    </w:r>
    <w:r w:rsidR="00B55580">
      <w:rPr>
        <w:noProof/>
      </w:rPr>
      <w:t>2 March 2025</w:t>
    </w:r>
    <w:r>
      <w:fldChar w:fldCharType="end"/>
    </w:r>
  </w:p>
  <w:p w:rsidR="004F1DA6" w:rsidP="004F1D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8CFC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EAC3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503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D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1DA6"/>
    <w:pPr>
      <w:spacing w:before="360" w:after="60"/>
      <w:outlineLvl w:val="0"/>
    </w:pPr>
    <w:rPr>
      <w:sz w:val="32"/>
    </w:rPr>
  </w:style>
  <w:style w:type="paragraph" w:styleId="Heading2">
    <w:name w:val="heading 2"/>
    <w:basedOn w:val="HeadingBase"/>
    <w:next w:val="BodyText"/>
    <w:link w:val="Heading2Char"/>
    <w:qFormat/>
    <w:rsid w:val="004F1DA6"/>
    <w:pPr>
      <w:keepLines/>
      <w:spacing w:before="240" w:after="120"/>
      <w:outlineLvl w:val="1"/>
    </w:pPr>
    <w:rPr>
      <w:sz w:val="28"/>
      <w:szCs w:val="40"/>
    </w:rPr>
  </w:style>
  <w:style w:type="paragraph" w:styleId="Heading3">
    <w:name w:val="heading 3"/>
    <w:basedOn w:val="HeadingBase"/>
    <w:next w:val="BodyText"/>
    <w:link w:val="Heading3Char"/>
    <w:qFormat/>
    <w:rsid w:val="004F1DA6"/>
    <w:pPr>
      <w:spacing w:before="180" w:after="120"/>
      <w:outlineLvl w:val="2"/>
    </w:pPr>
    <w:rPr>
      <w:spacing w:val="-10"/>
      <w:kern w:val="32"/>
    </w:rPr>
  </w:style>
  <w:style w:type="paragraph" w:styleId="Heading4">
    <w:name w:val="heading 4"/>
    <w:basedOn w:val="HeadingBase"/>
    <w:next w:val="BodyText"/>
    <w:link w:val="Heading4Char"/>
    <w:qFormat/>
    <w:rsid w:val="004F1DA6"/>
    <w:pPr>
      <w:spacing w:before="160" w:after="120"/>
      <w:outlineLvl w:val="3"/>
    </w:pPr>
    <w:rPr>
      <w:sz w:val="22"/>
    </w:rPr>
  </w:style>
  <w:style w:type="paragraph" w:styleId="Heading5">
    <w:name w:val="heading 5"/>
    <w:basedOn w:val="HeadingBase"/>
    <w:next w:val="Normal"/>
    <w:link w:val="Heading5Char"/>
    <w:qFormat/>
    <w:rsid w:val="004F1DA6"/>
    <w:pPr>
      <w:spacing w:before="80"/>
      <w:outlineLvl w:val="4"/>
    </w:pPr>
    <w:rPr>
      <w:color w:val="918585"/>
      <w:sz w:val="20"/>
    </w:rPr>
  </w:style>
  <w:style w:type="paragraph" w:styleId="Heading6">
    <w:name w:val="heading 6"/>
    <w:basedOn w:val="HeadingBase"/>
    <w:next w:val="Normal"/>
    <w:link w:val="Heading6Char"/>
    <w:qFormat/>
    <w:rsid w:val="004F1DA6"/>
    <w:pPr>
      <w:spacing w:before="60"/>
      <w:outlineLvl w:val="5"/>
    </w:pPr>
    <w:rPr>
      <w:color w:val="918585"/>
      <w:sz w:val="20"/>
    </w:rPr>
  </w:style>
  <w:style w:type="paragraph" w:styleId="Heading7">
    <w:name w:val="heading 7"/>
    <w:basedOn w:val="Normal"/>
    <w:next w:val="Normal"/>
    <w:link w:val="Heading7Char"/>
    <w:qFormat/>
    <w:rsid w:val="004F1DA6"/>
    <w:pPr>
      <w:ind w:left="720"/>
      <w:outlineLvl w:val="6"/>
    </w:pPr>
    <w:rPr>
      <w:i/>
    </w:rPr>
  </w:style>
  <w:style w:type="paragraph" w:styleId="Heading8">
    <w:name w:val="heading 8"/>
    <w:basedOn w:val="Normal"/>
    <w:next w:val="Normal"/>
    <w:link w:val="Heading8Char"/>
    <w:qFormat/>
    <w:rsid w:val="004F1DA6"/>
    <w:pPr>
      <w:ind w:left="720"/>
      <w:outlineLvl w:val="7"/>
    </w:pPr>
    <w:rPr>
      <w:i/>
    </w:rPr>
  </w:style>
  <w:style w:type="paragraph" w:styleId="Heading9">
    <w:name w:val="heading 9"/>
    <w:basedOn w:val="Normal"/>
    <w:next w:val="Normal"/>
    <w:link w:val="Heading9Char"/>
    <w:qFormat/>
    <w:rsid w:val="004F1DA6"/>
    <w:pPr>
      <w:ind w:left="720"/>
      <w:outlineLvl w:val="8"/>
    </w:pPr>
    <w:rPr>
      <w:i/>
    </w:rPr>
  </w:style>
  <w:style w:type="character" w:default="1" w:styleId="DefaultParagraphFont">
    <w:name w:val="Default Paragraph Font"/>
    <w:uiPriority w:val="1"/>
    <w:unhideWhenUsed/>
    <w:rsid w:val="004F1D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DA6"/>
  </w:style>
  <w:style w:type="character" w:customStyle="1" w:styleId="Heading1Char">
    <w:name w:val="Heading 1 Char"/>
    <w:basedOn w:val="DefaultParagraphFont"/>
    <w:link w:val="Heading1"/>
    <w:rsid w:val="004F1DA6"/>
    <w:rPr>
      <w:rFonts w:ascii="Times New Roman" w:eastAsia="Times New Roman" w:hAnsi="Times New Roman" w:cs="Times New Roman"/>
      <w:b/>
      <w:sz w:val="32"/>
      <w:szCs w:val="20"/>
      <w:lang w:eastAsia="en-US"/>
    </w:rPr>
  </w:style>
  <w:style w:type="paragraph" w:styleId="BodyText">
    <w:name w:val="Body Text"/>
    <w:basedOn w:val="Normal"/>
    <w:link w:val="BodyTextChar"/>
    <w:rsid w:val="004F1D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1DA6"/>
    <w:rPr>
      <w:rFonts w:ascii="Times New Roman" w:eastAsia="Times New Roman" w:hAnsi="Times New Roman" w:cs="Times New Roman"/>
      <w:sz w:val="24"/>
      <w:lang w:eastAsia="en-US"/>
    </w:rPr>
  </w:style>
  <w:style w:type="paragraph" w:styleId="ListBullet">
    <w:name w:val="List Bullet"/>
    <w:basedOn w:val="List"/>
    <w:rsid w:val="004F1DA6"/>
    <w:pPr>
      <w:numPr>
        <w:numId w:val="14"/>
      </w:numPr>
      <w:tabs>
        <w:tab w:val="clear" w:pos="340"/>
      </w:tabs>
      <w:spacing w:before="40" w:after="40"/>
    </w:pPr>
  </w:style>
  <w:style w:type="paragraph" w:styleId="ListBullet2">
    <w:name w:val="List Bullet 2"/>
    <w:basedOn w:val="List2"/>
    <w:rsid w:val="004F1DA6"/>
    <w:pPr>
      <w:numPr>
        <w:numId w:val="15"/>
      </w:numPr>
      <w:tabs>
        <w:tab w:val="clear" w:pos="680"/>
      </w:tabs>
    </w:pPr>
  </w:style>
  <w:style w:type="character" w:styleId="Emphasis">
    <w:name w:val="Emphasis"/>
    <w:basedOn w:val="DefaultParagraphFont"/>
    <w:qFormat/>
    <w:rsid w:val="004F1DA6"/>
    <w:rPr>
      <w:i/>
    </w:rPr>
  </w:style>
  <w:style w:type="paragraph" w:customStyle="1" w:styleId="SuperHeading">
    <w:name w:val="SuperHeading"/>
    <w:basedOn w:val="Normal"/>
    <w:rsid w:val="004F1DA6"/>
    <w:pPr>
      <w:spacing w:before="240" w:after="120"/>
      <w:outlineLvl w:val="0"/>
    </w:pPr>
    <w:rPr>
      <w:rFonts w:ascii="Times New Roman" w:hAnsi="Times New Roman"/>
      <w:b/>
      <w:sz w:val="32"/>
    </w:rPr>
  </w:style>
  <w:style w:type="paragraph" w:customStyle="1" w:styleId="AllowPageBreak">
    <w:name w:val="AllowPageBreak"/>
    <w:rsid w:val="004F1D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F1DA6"/>
    <w:pPr>
      <w:numPr>
        <w:numId w:val="3"/>
      </w:numPr>
      <w:tabs>
        <w:tab w:val="clear" w:pos="1021"/>
      </w:tabs>
      <w:ind w:left="1037" w:hanging="357"/>
    </w:pPr>
  </w:style>
  <w:style w:type="paragraph" w:styleId="ListBullet4">
    <w:name w:val="List Bullet 4"/>
    <w:basedOn w:val="List4"/>
    <w:rsid w:val="004F1DA6"/>
    <w:pPr>
      <w:numPr>
        <w:numId w:val="4"/>
      </w:numPr>
      <w:tabs>
        <w:tab w:val="clear" w:pos="1361"/>
      </w:tabs>
    </w:pPr>
  </w:style>
  <w:style w:type="character" w:customStyle="1" w:styleId="Heading2Char">
    <w:name w:val="Heading 2 Char"/>
    <w:basedOn w:val="DefaultParagraphFont"/>
    <w:link w:val="Heading2"/>
    <w:rsid w:val="004F1D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D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D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D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D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D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1D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1DA6"/>
    <w:rPr>
      <w:rFonts w:ascii="Courier New" w:eastAsia="Times New Roman" w:hAnsi="Courier New" w:cs="Times New Roman"/>
      <w:i/>
      <w:szCs w:val="20"/>
      <w:lang w:eastAsia="en-US"/>
    </w:rPr>
  </w:style>
  <w:style w:type="paragraph" w:customStyle="1" w:styleId="HeadingBase">
    <w:name w:val="Heading Base"/>
    <w:rsid w:val="004F1D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DA6"/>
    <w:pPr>
      <w:tabs>
        <w:tab w:val="right" w:leader="dot" w:pos="9072"/>
      </w:tabs>
      <w:ind w:left="567"/>
    </w:pPr>
    <w:rPr>
      <w:szCs w:val="22"/>
    </w:rPr>
  </w:style>
  <w:style w:type="paragraph" w:customStyle="1" w:styleId="TOCBase">
    <w:name w:val="TOC Base"/>
    <w:rsid w:val="004F1D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DA6"/>
    <w:pPr>
      <w:tabs>
        <w:tab w:val="right" w:leader="dot" w:pos="9072"/>
      </w:tabs>
      <w:spacing w:before="40" w:after="40"/>
      <w:ind w:left="284"/>
    </w:pPr>
    <w:rPr>
      <w:rFonts w:ascii="Times New Roman" w:hAnsi="Times New Roman"/>
    </w:rPr>
  </w:style>
  <w:style w:type="paragraph" w:styleId="TOC1">
    <w:name w:val="toc 1"/>
    <w:basedOn w:val="TOCBase"/>
    <w:next w:val="Normal"/>
    <w:rsid w:val="004F1D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1D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DA6"/>
    <w:rPr>
      <w:rFonts w:ascii="Times New Roman" w:eastAsia="Times New Roman" w:hAnsi="Times New Roman" w:cs="Times New Roman"/>
      <w:sz w:val="16"/>
      <w:lang w:eastAsia="en-US"/>
    </w:rPr>
  </w:style>
  <w:style w:type="paragraph" w:styleId="Title">
    <w:name w:val="Title"/>
    <w:basedOn w:val="HeadingBase"/>
    <w:link w:val="TitleChar"/>
    <w:qFormat/>
    <w:rsid w:val="004F1DA6"/>
    <w:pPr>
      <w:spacing w:before="5040"/>
      <w:jc w:val="center"/>
    </w:pPr>
    <w:rPr>
      <w:sz w:val="48"/>
      <w:szCs w:val="72"/>
      <w:lang w:val="en-US"/>
    </w:rPr>
  </w:style>
  <w:style w:type="character" w:customStyle="1" w:styleId="TitleChar">
    <w:name w:val="Title Char"/>
    <w:basedOn w:val="DefaultParagraphFont"/>
    <w:link w:val="Title"/>
    <w:rsid w:val="004F1D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DA6"/>
    <w:pPr>
      <w:tabs>
        <w:tab w:val="left" w:pos="3600"/>
        <w:tab w:val="left" w:pos="3958"/>
      </w:tabs>
    </w:pPr>
  </w:style>
  <w:style w:type="paragraph" w:styleId="List">
    <w:name w:val="List"/>
    <w:basedOn w:val="BodyText"/>
    <w:next w:val="BodyText"/>
    <w:rsid w:val="004F1DA6"/>
    <w:pPr>
      <w:tabs>
        <w:tab w:val="left" w:pos="340"/>
      </w:tabs>
      <w:spacing w:before="60" w:after="60"/>
      <w:ind w:left="340" w:hanging="340"/>
    </w:pPr>
  </w:style>
  <w:style w:type="paragraph" w:customStyle="1" w:styleId="Note">
    <w:name w:val="Note"/>
    <w:basedOn w:val="BodyText"/>
    <w:rsid w:val="004F1D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1DA6"/>
    <w:rPr>
      <w:b/>
      <w:spacing w:val="0"/>
    </w:rPr>
  </w:style>
  <w:style w:type="paragraph" w:customStyle="1" w:styleId="SuperTitle">
    <w:name w:val="SuperTitle"/>
    <w:basedOn w:val="Title"/>
    <w:rsid w:val="004F1DA6"/>
    <w:pPr>
      <w:framePr w:wrap="auto" w:hAnchor="text" w:y="6049"/>
    </w:pPr>
    <w:rPr>
      <w:color w:val="000000"/>
      <w:sz w:val="40"/>
    </w:rPr>
  </w:style>
  <w:style w:type="paragraph" w:customStyle="1" w:styleId="TOCTitle">
    <w:name w:val="TOCTitle"/>
    <w:basedOn w:val="Heading1"/>
    <w:rsid w:val="004F1DA6"/>
    <w:pPr>
      <w:spacing w:after="240"/>
      <w:jc w:val="center"/>
      <w:outlineLvl w:val="9"/>
    </w:pPr>
    <w:rPr>
      <w:caps/>
    </w:rPr>
  </w:style>
  <w:style w:type="paragraph" w:customStyle="1" w:styleId="Version">
    <w:name w:val="Version"/>
    <w:rsid w:val="004F1D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1DA6"/>
    <w:pPr>
      <w:keepNext w:val="0"/>
      <w:tabs>
        <w:tab w:val="right" w:pos="4176"/>
      </w:tabs>
      <w:ind w:left="198" w:hanging="198"/>
    </w:pPr>
    <w:rPr>
      <w:rFonts w:ascii="Garamond" w:hAnsi="Garamond"/>
    </w:rPr>
  </w:style>
  <w:style w:type="paragraph" w:styleId="IndexHeading">
    <w:name w:val="index heading"/>
    <w:basedOn w:val="Normal"/>
    <w:next w:val="Index1"/>
    <w:semiHidden/>
    <w:rsid w:val="004F1DA6"/>
    <w:pPr>
      <w:spacing w:before="120" w:after="120"/>
    </w:pPr>
    <w:rPr>
      <w:rFonts w:ascii="Arial" w:hAnsi="Arial"/>
      <w:b/>
      <w:color w:val="918585"/>
      <w:sz w:val="24"/>
    </w:rPr>
  </w:style>
  <w:style w:type="paragraph" w:styleId="Header">
    <w:name w:val="header"/>
    <w:basedOn w:val="Normal"/>
    <w:link w:val="HeaderChar"/>
    <w:rsid w:val="004F1D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DA6"/>
    <w:rPr>
      <w:rFonts w:ascii="Times New Roman" w:eastAsia="Times New Roman" w:hAnsi="Times New Roman" w:cs="Times New Roman"/>
      <w:sz w:val="16"/>
      <w:szCs w:val="20"/>
      <w:lang w:val="en-GB" w:eastAsia="en-US"/>
    </w:rPr>
  </w:style>
  <w:style w:type="paragraph" w:customStyle="1" w:styleId="Chapter">
    <w:name w:val="Chapter"/>
    <w:basedOn w:val="Normal"/>
    <w:rsid w:val="004F1DA6"/>
    <w:pPr>
      <w:spacing w:before="240"/>
    </w:pPr>
    <w:rPr>
      <w:rFonts w:ascii="Times New Roman" w:hAnsi="Times New Roman"/>
      <w:smallCaps/>
      <w:spacing w:val="80"/>
      <w:sz w:val="28"/>
    </w:rPr>
  </w:style>
  <w:style w:type="paragraph" w:customStyle="1" w:styleId="InChapter">
    <w:name w:val="InChapter"/>
    <w:basedOn w:val="Heading3"/>
    <w:rsid w:val="004F1DA6"/>
    <w:pPr>
      <w:spacing w:after="240"/>
      <w:outlineLvl w:val="9"/>
    </w:pPr>
    <w:rPr>
      <w:noProof/>
    </w:rPr>
  </w:style>
  <w:style w:type="paragraph" w:styleId="Index2">
    <w:name w:val="index 2"/>
    <w:basedOn w:val="Normal"/>
    <w:next w:val="Normal"/>
    <w:semiHidden/>
    <w:rsid w:val="004F1DA6"/>
    <w:pPr>
      <w:tabs>
        <w:tab w:val="right" w:pos="4176"/>
      </w:tabs>
      <w:ind w:left="568" w:hanging="284"/>
    </w:pPr>
    <w:rPr>
      <w:rFonts w:ascii="Garamond" w:hAnsi="Garamond"/>
    </w:rPr>
  </w:style>
  <w:style w:type="paragraph" w:customStyle="1" w:styleId="Byline">
    <w:name w:val="Byline"/>
    <w:rsid w:val="004F1D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DA6"/>
    <w:pPr>
      <w:tabs>
        <w:tab w:val="clear" w:pos="3600"/>
        <w:tab w:val="clear" w:pos="3958"/>
      </w:tabs>
      <w:jc w:val="right"/>
    </w:pPr>
  </w:style>
  <w:style w:type="paragraph" w:styleId="Caption">
    <w:name w:val="caption"/>
    <w:basedOn w:val="BodyText"/>
    <w:next w:val="Normal"/>
    <w:qFormat/>
    <w:rsid w:val="004F1DA6"/>
    <w:pPr>
      <w:framePr w:w="2268" w:hSpace="181" w:vSpace="181" w:wrap="around" w:vAnchor="text" w:hAnchor="page" w:x="1135" w:y="285" w:anchorLock="1"/>
    </w:pPr>
    <w:rPr>
      <w:i/>
    </w:rPr>
  </w:style>
  <w:style w:type="paragraph" w:customStyle="1" w:styleId="MiniTOCTitle">
    <w:name w:val="MiniTOCTitle"/>
    <w:basedOn w:val="Heading4"/>
    <w:rsid w:val="004F1DA6"/>
    <w:pPr>
      <w:spacing w:before="240"/>
      <w:outlineLvl w:val="9"/>
    </w:pPr>
    <w:rPr>
      <w:noProof/>
      <w:sz w:val="24"/>
    </w:rPr>
  </w:style>
  <w:style w:type="paragraph" w:customStyle="1" w:styleId="MiniTOCItem">
    <w:name w:val="MiniTOCItem"/>
    <w:basedOn w:val="ListBullet"/>
    <w:rsid w:val="004F1DA6"/>
    <w:pPr>
      <w:numPr>
        <w:numId w:val="0"/>
      </w:numPr>
      <w:tabs>
        <w:tab w:val="right" w:leader="dot" w:pos="6521"/>
      </w:tabs>
      <w:spacing w:before="0" w:after="0"/>
    </w:pPr>
  </w:style>
  <w:style w:type="paragraph" w:customStyle="1" w:styleId="TOFTitle">
    <w:name w:val="TOFTitle"/>
    <w:basedOn w:val="TOCTitle"/>
    <w:rsid w:val="004F1DA6"/>
  </w:style>
  <w:style w:type="paragraph" w:styleId="TableofFigures">
    <w:name w:val="table of figures"/>
    <w:basedOn w:val="Normal"/>
    <w:next w:val="Normal"/>
    <w:semiHidden/>
    <w:rsid w:val="004F1DA6"/>
    <w:pPr>
      <w:tabs>
        <w:tab w:val="right" w:leader="dot" w:pos="9072"/>
      </w:tabs>
      <w:ind w:left="970" w:hanging="403"/>
    </w:pPr>
    <w:rPr>
      <w:rFonts w:ascii="Times New Roman" w:hAnsi="Times New Roman"/>
      <w:b/>
    </w:rPr>
  </w:style>
  <w:style w:type="paragraph" w:styleId="ListNumber">
    <w:name w:val="List Number"/>
    <w:basedOn w:val="List"/>
    <w:rsid w:val="004F1DA6"/>
    <w:pPr>
      <w:numPr>
        <w:numId w:val="17"/>
      </w:numPr>
      <w:tabs>
        <w:tab w:val="clear" w:pos="340"/>
      </w:tabs>
    </w:pPr>
  </w:style>
  <w:style w:type="character" w:customStyle="1" w:styleId="WingdingSymbols">
    <w:name w:val="Wingding Symbols"/>
    <w:rsid w:val="004F1DA6"/>
    <w:rPr>
      <w:rFonts w:ascii="Wingdings" w:hAnsi="Wingdings"/>
    </w:rPr>
  </w:style>
  <w:style w:type="paragraph" w:customStyle="1" w:styleId="TableHeading">
    <w:name w:val="Table Heading"/>
    <w:basedOn w:val="HeadingBase"/>
    <w:rsid w:val="004F1DA6"/>
    <w:pPr>
      <w:keepLines/>
      <w:pBdr>
        <w:bottom w:val="single" w:sz="6" w:space="1" w:color="918585"/>
      </w:pBdr>
      <w:spacing w:before="240"/>
    </w:pPr>
  </w:style>
  <w:style w:type="character" w:customStyle="1" w:styleId="HotSpot">
    <w:name w:val="HotSpot"/>
    <w:rsid w:val="004F1DA6"/>
    <w:rPr>
      <w:color w:val="0033CC"/>
      <w:u w:val="none"/>
    </w:rPr>
  </w:style>
  <w:style w:type="paragraph" w:customStyle="1" w:styleId="BodyTextRight">
    <w:name w:val="Body Text Right"/>
    <w:basedOn w:val="BodyText"/>
    <w:rsid w:val="004F1DA6"/>
    <w:pPr>
      <w:spacing w:before="0" w:after="0"/>
      <w:jc w:val="right"/>
    </w:pPr>
  </w:style>
  <w:style w:type="paragraph" w:styleId="Index3">
    <w:name w:val="index 3"/>
    <w:basedOn w:val="ListNumber2"/>
    <w:next w:val="Normal"/>
    <w:semiHidden/>
    <w:rsid w:val="004F1DA6"/>
    <w:pPr>
      <w:numPr>
        <w:numId w:val="0"/>
      </w:numPr>
      <w:tabs>
        <w:tab w:val="right" w:leader="dot" w:pos="4176"/>
      </w:tabs>
    </w:pPr>
  </w:style>
  <w:style w:type="paragraph" w:styleId="ListNumber2">
    <w:name w:val="List Number 2"/>
    <w:basedOn w:val="List2"/>
    <w:rsid w:val="004F1DA6"/>
    <w:pPr>
      <w:numPr>
        <w:numId w:val="12"/>
      </w:numPr>
      <w:tabs>
        <w:tab w:val="clear" w:pos="1060"/>
      </w:tabs>
    </w:pPr>
  </w:style>
  <w:style w:type="paragraph" w:customStyle="1" w:styleId="MarginNote">
    <w:name w:val="Margin Note"/>
    <w:basedOn w:val="BodyText"/>
    <w:rsid w:val="004F1D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D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D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1DA6"/>
    <w:rPr>
      <w:sz w:val="32"/>
    </w:rPr>
  </w:style>
  <w:style w:type="paragraph" w:customStyle="1" w:styleId="HeadingProcedure">
    <w:name w:val="Heading Procedure"/>
    <w:basedOn w:val="HeadingBase"/>
    <w:next w:val="Normal"/>
    <w:rsid w:val="004F1DA6"/>
    <w:pPr>
      <w:tabs>
        <w:tab w:val="left" w:pos="0"/>
      </w:tabs>
      <w:spacing w:before="120" w:after="60"/>
    </w:pPr>
    <w:rPr>
      <w:i/>
      <w:color w:val="918585"/>
      <w:sz w:val="22"/>
    </w:rPr>
  </w:style>
  <w:style w:type="paragraph" w:customStyle="1" w:styleId="TableBodyText">
    <w:name w:val="Table Body Text"/>
    <w:basedOn w:val="BodyText"/>
    <w:rsid w:val="004F1DA6"/>
    <w:pPr>
      <w:spacing w:before="60" w:after="60"/>
    </w:pPr>
  </w:style>
  <w:style w:type="paragraph" w:styleId="ListContinue">
    <w:name w:val="List Continue"/>
    <w:basedOn w:val="List"/>
    <w:rsid w:val="004F1DA6"/>
    <w:pPr>
      <w:ind w:firstLine="0"/>
    </w:pPr>
  </w:style>
  <w:style w:type="paragraph" w:customStyle="1" w:styleId="ListNote">
    <w:name w:val="List Note"/>
    <w:basedOn w:val="List"/>
    <w:rsid w:val="004F1DA6"/>
    <w:pPr>
      <w:pBdr>
        <w:top w:val="single" w:sz="6" w:space="2" w:color="918585"/>
        <w:bottom w:val="single" w:sz="6" w:space="2" w:color="918585"/>
      </w:pBdr>
      <w:tabs>
        <w:tab w:val="left" w:pos="1021"/>
      </w:tabs>
      <w:ind w:firstLine="0"/>
    </w:pPr>
  </w:style>
  <w:style w:type="paragraph" w:customStyle="1" w:styleId="Warning">
    <w:name w:val="Warning"/>
    <w:basedOn w:val="BodyText"/>
    <w:rsid w:val="004F1DA6"/>
    <w:pPr>
      <w:shd w:val="clear" w:color="auto" w:fill="D9D9D9"/>
      <w:tabs>
        <w:tab w:val="left" w:pos="992"/>
      </w:tabs>
      <w:ind w:left="119" w:right="119"/>
    </w:pPr>
    <w:rPr>
      <w:sz w:val="20"/>
    </w:rPr>
  </w:style>
  <w:style w:type="paragraph" w:customStyle="1" w:styleId="MarginIcons">
    <w:name w:val="Margin Icons"/>
    <w:basedOn w:val="BodyText"/>
    <w:rsid w:val="004F1D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DA6"/>
    <w:rPr>
      <w:rFonts w:ascii="Courier New" w:hAnsi="Courier New"/>
    </w:rPr>
  </w:style>
  <w:style w:type="paragraph" w:customStyle="1" w:styleId="NoteBullet">
    <w:name w:val="Note Bullet"/>
    <w:basedOn w:val="Note"/>
    <w:rsid w:val="004F1DA6"/>
    <w:pPr>
      <w:tabs>
        <w:tab w:val="clear" w:pos="680"/>
      </w:tabs>
      <w:spacing w:before="60" w:after="60"/>
    </w:pPr>
  </w:style>
  <w:style w:type="paragraph" w:customStyle="1" w:styleId="SubHeading2">
    <w:name w:val="SubHeading2"/>
    <w:basedOn w:val="HeadingBase"/>
    <w:rsid w:val="004F1DA6"/>
    <w:pPr>
      <w:spacing w:before="240" w:after="60"/>
    </w:pPr>
    <w:rPr>
      <w:sz w:val="20"/>
    </w:rPr>
  </w:style>
  <w:style w:type="paragraph" w:customStyle="1" w:styleId="SubHeading1">
    <w:name w:val="SubHeading1"/>
    <w:basedOn w:val="HeadingBase"/>
    <w:rsid w:val="004F1DA6"/>
    <w:pPr>
      <w:spacing w:before="240" w:after="60"/>
    </w:pPr>
    <w:rPr>
      <w:color w:val="918585"/>
      <w:sz w:val="22"/>
    </w:rPr>
  </w:style>
  <w:style w:type="paragraph" w:customStyle="1" w:styleId="SideHeading">
    <w:name w:val="Side Heading"/>
    <w:basedOn w:val="HeadingBase"/>
    <w:rsid w:val="004F1D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DA6"/>
    <w:pPr>
      <w:numPr>
        <w:numId w:val="13"/>
      </w:numPr>
    </w:pPr>
  </w:style>
  <w:style w:type="paragraph" w:styleId="PlainText">
    <w:name w:val="Plain Text"/>
    <w:basedOn w:val="Normal"/>
    <w:link w:val="PlainTextChar"/>
    <w:rsid w:val="004F1DA6"/>
    <w:rPr>
      <w:sz w:val="20"/>
    </w:rPr>
  </w:style>
  <w:style w:type="character" w:customStyle="1" w:styleId="PlainTextChar">
    <w:name w:val="Plain Text Char"/>
    <w:basedOn w:val="DefaultParagraphFont"/>
    <w:link w:val="PlainText"/>
    <w:rsid w:val="004F1DA6"/>
    <w:rPr>
      <w:rFonts w:ascii="Courier New" w:eastAsia="Times New Roman" w:hAnsi="Courier New" w:cs="Times New Roman"/>
      <w:sz w:val="20"/>
      <w:szCs w:val="20"/>
      <w:lang w:eastAsia="en-US"/>
    </w:rPr>
  </w:style>
  <w:style w:type="character" w:customStyle="1" w:styleId="MenuOption">
    <w:name w:val="Menu Option"/>
    <w:basedOn w:val="DefaultParagraphFont"/>
    <w:rsid w:val="004F1DA6"/>
    <w:rPr>
      <w:b/>
      <w:smallCaps/>
    </w:rPr>
  </w:style>
  <w:style w:type="paragraph" w:customStyle="1" w:styleId="TableListNumber">
    <w:name w:val="Table List Number"/>
    <w:basedOn w:val="ListNumber"/>
    <w:rsid w:val="004F1DA6"/>
    <w:pPr>
      <w:numPr>
        <w:numId w:val="0"/>
      </w:numPr>
    </w:pPr>
  </w:style>
  <w:style w:type="paragraph" w:styleId="TOC4">
    <w:name w:val="toc 4"/>
    <w:basedOn w:val="TOCBase"/>
    <w:next w:val="Normal"/>
    <w:semiHidden/>
    <w:rsid w:val="004F1DA6"/>
    <w:pPr>
      <w:tabs>
        <w:tab w:val="right" w:leader="dot" w:pos="9071"/>
      </w:tabs>
      <w:ind w:left="1701"/>
    </w:pPr>
  </w:style>
  <w:style w:type="paragraph" w:customStyle="1" w:styleId="ListAlpha">
    <w:name w:val="List Alpha"/>
    <w:basedOn w:val="List"/>
    <w:rsid w:val="004F1DA6"/>
    <w:pPr>
      <w:numPr>
        <w:numId w:val="11"/>
      </w:numPr>
    </w:pPr>
  </w:style>
  <w:style w:type="paragraph" w:customStyle="1" w:styleId="ListAlpha2">
    <w:name w:val="List Alpha 2"/>
    <w:basedOn w:val="List2"/>
    <w:rsid w:val="004F1DA6"/>
    <w:pPr>
      <w:numPr>
        <w:numId w:val="10"/>
      </w:numPr>
    </w:pPr>
  </w:style>
  <w:style w:type="paragraph" w:styleId="List2">
    <w:name w:val="List 2"/>
    <w:basedOn w:val="BodyText"/>
    <w:rsid w:val="004F1DA6"/>
    <w:pPr>
      <w:tabs>
        <w:tab w:val="left" w:pos="680"/>
      </w:tabs>
      <w:spacing w:before="60" w:after="60"/>
      <w:ind w:left="680" w:hanging="340"/>
    </w:pPr>
  </w:style>
  <w:style w:type="paragraph" w:styleId="List3">
    <w:name w:val="List 3"/>
    <w:basedOn w:val="BodyText"/>
    <w:rsid w:val="004F1DA6"/>
    <w:pPr>
      <w:tabs>
        <w:tab w:val="left" w:pos="1021"/>
      </w:tabs>
      <w:spacing w:before="60" w:after="60"/>
      <w:ind w:left="1020" w:hanging="340"/>
    </w:pPr>
  </w:style>
  <w:style w:type="paragraph" w:styleId="List4">
    <w:name w:val="List 4"/>
    <w:basedOn w:val="BodyText"/>
    <w:rsid w:val="004F1DA6"/>
    <w:pPr>
      <w:tabs>
        <w:tab w:val="left" w:pos="1361"/>
      </w:tabs>
      <w:spacing w:before="60" w:after="60"/>
      <w:ind w:left="1361" w:hanging="340"/>
    </w:pPr>
  </w:style>
  <w:style w:type="paragraph" w:styleId="List5">
    <w:name w:val="List 5"/>
    <w:basedOn w:val="BodyText"/>
    <w:rsid w:val="004F1DA6"/>
    <w:pPr>
      <w:tabs>
        <w:tab w:val="left" w:pos="1701"/>
      </w:tabs>
      <w:spacing w:before="60" w:after="60"/>
      <w:ind w:left="1701" w:hanging="340"/>
    </w:pPr>
  </w:style>
  <w:style w:type="paragraph" w:styleId="ListBullet5">
    <w:name w:val="List Bullet 5"/>
    <w:basedOn w:val="List5"/>
    <w:rsid w:val="004F1DA6"/>
    <w:pPr>
      <w:numPr>
        <w:numId w:val="6"/>
      </w:numPr>
    </w:pPr>
  </w:style>
  <w:style w:type="paragraph" w:styleId="ListContinue2">
    <w:name w:val="List Continue 2"/>
    <w:basedOn w:val="List2"/>
    <w:rsid w:val="004F1DA6"/>
    <w:pPr>
      <w:ind w:firstLine="0"/>
    </w:pPr>
  </w:style>
  <w:style w:type="paragraph" w:styleId="ListContinue3">
    <w:name w:val="List Continue 3"/>
    <w:basedOn w:val="List3"/>
    <w:rsid w:val="004F1DA6"/>
    <w:pPr>
      <w:ind w:left="1021" w:firstLine="0"/>
    </w:pPr>
  </w:style>
  <w:style w:type="paragraph" w:styleId="ListContinue4">
    <w:name w:val="List Continue 4"/>
    <w:basedOn w:val="List4"/>
    <w:rsid w:val="004F1DA6"/>
    <w:pPr>
      <w:ind w:firstLine="0"/>
    </w:pPr>
  </w:style>
  <w:style w:type="paragraph" w:styleId="ListContinue5">
    <w:name w:val="List Continue 5"/>
    <w:basedOn w:val="List5"/>
    <w:rsid w:val="004F1DA6"/>
    <w:pPr>
      <w:ind w:firstLine="0"/>
    </w:pPr>
  </w:style>
  <w:style w:type="paragraph" w:styleId="ListNumber3">
    <w:name w:val="List Number 3"/>
    <w:basedOn w:val="List3"/>
    <w:rsid w:val="004F1DA6"/>
    <w:pPr>
      <w:numPr>
        <w:numId w:val="7"/>
      </w:numPr>
    </w:pPr>
  </w:style>
  <w:style w:type="paragraph" w:styleId="ListNumber4">
    <w:name w:val="List Number 4"/>
    <w:basedOn w:val="List4"/>
    <w:rsid w:val="004F1DA6"/>
    <w:pPr>
      <w:numPr>
        <w:numId w:val="8"/>
      </w:numPr>
    </w:pPr>
  </w:style>
  <w:style w:type="paragraph" w:styleId="ListNumber5">
    <w:name w:val="List Number 5"/>
    <w:basedOn w:val="List5"/>
    <w:rsid w:val="004F1DA6"/>
    <w:pPr>
      <w:numPr>
        <w:numId w:val="9"/>
      </w:numPr>
    </w:pPr>
  </w:style>
  <w:style w:type="paragraph" w:styleId="BlockText">
    <w:name w:val="Block Text"/>
    <w:basedOn w:val="Normal"/>
    <w:rsid w:val="004F1DA6"/>
    <w:pPr>
      <w:spacing w:after="120"/>
      <w:ind w:left="1440" w:right="1440"/>
    </w:pPr>
  </w:style>
  <w:style w:type="character" w:customStyle="1" w:styleId="Subscript">
    <w:name w:val="Subscript"/>
    <w:basedOn w:val="DefaultParagraphFont"/>
    <w:rsid w:val="004F1DA6"/>
    <w:rPr>
      <w:sz w:val="16"/>
      <w:vertAlign w:val="subscript"/>
    </w:rPr>
  </w:style>
  <w:style w:type="character" w:customStyle="1" w:styleId="Superscript">
    <w:name w:val="Superscript"/>
    <w:basedOn w:val="DefaultParagraphFont"/>
    <w:rsid w:val="004F1DA6"/>
    <w:rPr>
      <w:sz w:val="16"/>
      <w:vertAlign w:val="superscript"/>
    </w:rPr>
  </w:style>
  <w:style w:type="character" w:customStyle="1" w:styleId="Symbols">
    <w:name w:val="Symbols"/>
    <w:basedOn w:val="DefaultParagraphFont"/>
    <w:rsid w:val="004F1DA6"/>
    <w:rPr>
      <w:rFonts w:ascii="Symbol" w:hAnsi="Symbol"/>
    </w:rPr>
  </w:style>
  <w:style w:type="character" w:customStyle="1" w:styleId="MenuOptions">
    <w:name w:val="Menu Options"/>
    <w:basedOn w:val="DefaultParagraphFont"/>
    <w:rsid w:val="004F1DA6"/>
    <w:rPr>
      <w:rFonts w:ascii="Arial Narrow" w:hAnsi="Arial Narrow"/>
      <w:smallCaps/>
    </w:rPr>
  </w:style>
  <w:style w:type="character" w:customStyle="1" w:styleId="Buttons">
    <w:name w:val="Buttons"/>
    <w:basedOn w:val="DefaultParagraphFont"/>
    <w:rsid w:val="004F1DA6"/>
    <w:rPr>
      <w:b/>
    </w:rPr>
  </w:style>
  <w:style w:type="character" w:customStyle="1" w:styleId="Underlined">
    <w:name w:val="Underlined"/>
    <w:basedOn w:val="DefaultParagraphFont"/>
    <w:rsid w:val="004F1DA6"/>
    <w:rPr>
      <w:u w:val="single"/>
    </w:rPr>
  </w:style>
  <w:style w:type="paragraph" w:customStyle="1" w:styleId="TableBodyTextRight">
    <w:name w:val="Table Body Text Right"/>
    <w:basedOn w:val="TableBodyText"/>
    <w:rsid w:val="004F1DA6"/>
    <w:pPr>
      <w:widowControl w:val="0"/>
      <w:autoSpaceDE w:val="0"/>
      <w:autoSpaceDN w:val="0"/>
      <w:adjustRightInd w:val="0"/>
      <w:jc w:val="right"/>
    </w:pPr>
    <w:rPr>
      <w:rFonts w:cs="Arial"/>
      <w:szCs w:val="18"/>
    </w:rPr>
  </w:style>
  <w:style w:type="paragraph" w:customStyle="1" w:styleId="CopyrightText">
    <w:name w:val="Copyright Text"/>
    <w:basedOn w:val="BodyText"/>
    <w:rsid w:val="004F1DA6"/>
    <w:rPr>
      <w:sz w:val="18"/>
    </w:rPr>
  </w:style>
  <w:style w:type="paragraph" w:customStyle="1" w:styleId="BodySmallRight">
    <w:name w:val="Body Small Right"/>
    <w:basedOn w:val="BodyTextRight"/>
    <w:rsid w:val="004F1DA6"/>
    <w:rPr>
      <w:sz w:val="18"/>
      <w:szCs w:val="18"/>
    </w:rPr>
  </w:style>
  <w:style w:type="paragraph" w:customStyle="1" w:styleId="MarginEdition">
    <w:name w:val="Margin Edition"/>
    <w:basedOn w:val="MarginNote"/>
    <w:rsid w:val="004F1DA6"/>
    <w:pPr>
      <w:spacing w:before="0" w:after="0"/>
    </w:pPr>
    <w:rPr>
      <w:rFonts w:ascii="Times New Roman" w:hAnsi="Times New Roman"/>
      <w:color w:val="999999"/>
    </w:rPr>
  </w:style>
  <w:style w:type="paragraph" w:customStyle="1" w:styleId="Spacer">
    <w:name w:val="Spacer"/>
    <w:basedOn w:val="Normal"/>
    <w:rsid w:val="004F1DA6"/>
    <w:rPr>
      <w:sz w:val="2"/>
      <w:szCs w:val="2"/>
    </w:rPr>
  </w:style>
  <w:style w:type="character" w:customStyle="1" w:styleId="Small">
    <w:name w:val="Small"/>
    <w:basedOn w:val="DefaultParagraphFont"/>
    <w:rsid w:val="004F1DA6"/>
    <w:rPr>
      <w:sz w:val="16"/>
    </w:rPr>
  </w:style>
  <w:style w:type="paragraph" w:customStyle="1" w:styleId="WideTable">
    <w:name w:val="Wide Table"/>
    <w:basedOn w:val="Normal"/>
    <w:rsid w:val="004F1DA6"/>
    <w:pPr>
      <w:ind w:left="-1418"/>
    </w:pPr>
    <w:rPr>
      <w:sz w:val="2"/>
      <w:szCs w:val="2"/>
    </w:rPr>
  </w:style>
  <w:style w:type="character" w:styleId="PageNumber">
    <w:name w:val="page number"/>
    <w:basedOn w:val="DefaultParagraphFont"/>
    <w:rsid w:val="004F1DA6"/>
  </w:style>
  <w:style w:type="paragraph" w:styleId="Quote">
    <w:name w:val="Quote"/>
    <w:basedOn w:val="Heading1"/>
    <w:link w:val="QuoteChar"/>
    <w:qFormat/>
    <w:rsid w:val="004F1DA6"/>
    <w:rPr>
      <w:b w:val="0"/>
      <w:sz w:val="72"/>
      <w:szCs w:val="72"/>
      <w:lang w:val="en-NZ"/>
    </w:rPr>
  </w:style>
  <w:style w:type="character" w:customStyle="1" w:styleId="QuoteChar">
    <w:name w:val="Quote Char"/>
    <w:basedOn w:val="DefaultParagraphFont"/>
    <w:link w:val="Quote"/>
    <w:rsid w:val="004F1D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DA6"/>
    <w:pPr>
      <w:pageBreakBefore/>
    </w:pPr>
  </w:style>
  <w:style w:type="paragraph" w:customStyle="1" w:styleId="Border">
    <w:name w:val="Border"/>
    <w:basedOn w:val="Normal"/>
    <w:qFormat/>
    <w:rsid w:val="004F1D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DA6"/>
    <w:rPr>
      <w:b/>
      <w:bCs/>
      <w:i/>
      <w:iCs/>
      <w:color w:val="auto"/>
    </w:rPr>
  </w:style>
  <w:style w:type="paragraph" w:styleId="IntenseQuote">
    <w:name w:val="Intense Quote"/>
    <w:basedOn w:val="Normal"/>
    <w:next w:val="Normal"/>
    <w:link w:val="IntenseQuoteChar"/>
    <w:uiPriority w:val="30"/>
    <w:qFormat/>
    <w:rsid w:val="004F1D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D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1DA6"/>
    <w:rPr>
      <w:smallCaps/>
      <w:color w:val="auto"/>
      <w:u w:val="single"/>
    </w:rPr>
  </w:style>
  <w:style w:type="character" w:styleId="IntenseReference">
    <w:name w:val="Intense Reference"/>
    <w:basedOn w:val="DefaultParagraphFont"/>
    <w:uiPriority w:val="32"/>
    <w:qFormat/>
    <w:rsid w:val="004F1DA6"/>
    <w:rPr>
      <w:b/>
      <w:bCs/>
      <w:smallCaps/>
      <w:color w:val="auto"/>
      <w:spacing w:val="5"/>
      <w:u w:val="single"/>
    </w:rPr>
  </w:style>
  <w:style w:type="paragraph" w:customStyle="1" w:styleId="2ColumnHeading">
    <w:name w:val="2Column Heading"/>
    <w:basedOn w:val="BodyText"/>
    <w:qFormat/>
    <w:rsid w:val="004F1DA6"/>
    <w:pPr>
      <w:spacing w:after="60"/>
      <w:ind w:left="-2268"/>
    </w:pPr>
    <w:rPr>
      <w:b/>
    </w:rPr>
  </w:style>
  <w:style w:type="paragraph" w:customStyle="1" w:styleId="Heading1TOC">
    <w:name w:val="Heading1 TOC"/>
    <w:basedOn w:val="Normal"/>
    <w:qFormat/>
    <w:rsid w:val="004F1DA6"/>
    <w:pPr>
      <w:spacing w:before="240" w:after="120"/>
    </w:pPr>
    <w:rPr>
      <w:rFonts w:ascii="Times New Roman" w:hAnsi="Times New Roman"/>
      <w:b/>
      <w:sz w:val="32"/>
    </w:rPr>
  </w:style>
  <w:style w:type="paragraph" w:customStyle="1" w:styleId="Heading2TOC">
    <w:name w:val="Heading2 TOC"/>
    <w:basedOn w:val="Normal"/>
    <w:qFormat/>
    <w:rsid w:val="004F1DA6"/>
    <w:pPr>
      <w:spacing w:before="240" w:after="60"/>
    </w:pPr>
    <w:rPr>
      <w:rFonts w:ascii="Times New Roman" w:hAnsi="Times New Roman"/>
      <w:b/>
      <w:sz w:val="28"/>
    </w:rPr>
  </w:style>
  <w:style w:type="character" w:customStyle="1" w:styleId="Underline">
    <w:name w:val="Underline"/>
    <w:basedOn w:val="DefaultParagraphFont"/>
    <w:qFormat/>
    <w:rsid w:val="004F1DA6"/>
    <w:rPr>
      <w:u w:val="single"/>
    </w:rPr>
  </w:style>
  <w:style w:type="character" w:customStyle="1" w:styleId="BoldandItalics">
    <w:name w:val="Bold and Italics"/>
    <w:qFormat/>
    <w:rsid w:val="004F1DA6"/>
    <w:rPr>
      <w:b/>
      <w:i/>
      <w:u w:val="none"/>
    </w:rPr>
  </w:style>
  <w:style w:type="paragraph" w:styleId="BalloonText">
    <w:name w:val="Balloon Text"/>
    <w:basedOn w:val="Normal"/>
    <w:link w:val="BalloonTextChar"/>
    <w:rsid w:val="004F1DA6"/>
    <w:rPr>
      <w:rFonts w:ascii="Tahoma" w:hAnsi="Tahoma" w:cs="Tahoma"/>
      <w:sz w:val="16"/>
      <w:szCs w:val="16"/>
    </w:rPr>
  </w:style>
  <w:style w:type="character" w:customStyle="1" w:styleId="BalloonTextChar">
    <w:name w:val="Balloon Text Char"/>
    <w:basedOn w:val="DefaultParagraphFont"/>
    <w:link w:val="BalloonText"/>
    <w:rsid w:val="004F1D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1D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1D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1DA6"/>
    <w:rPr>
      <w:b/>
      <w:color w:val="660033"/>
      <w:spacing w:val="0"/>
    </w:rPr>
  </w:style>
  <w:style w:type="paragraph" w:customStyle="1" w:styleId="Nameditemlist">
    <w:name w:val="Named item list"/>
    <w:basedOn w:val="BodyText"/>
    <w:qFormat/>
    <w:rsid w:val="004F1DA6"/>
    <w:pPr>
      <w:tabs>
        <w:tab w:val="left" w:pos="2835"/>
      </w:tabs>
      <w:ind w:left="2835" w:hanging="2835"/>
    </w:pPr>
  </w:style>
  <w:style w:type="paragraph" w:customStyle="1" w:styleId="BodyTextnopadding">
    <w:name w:val="Body Text no padding"/>
    <w:basedOn w:val="BodyText"/>
    <w:qFormat/>
    <w:rsid w:val="004F1DA6"/>
    <w:pPr>
      <w:spacing w:before="0" w:after="0"/>
    </w:pPr>
  </w:style>
  <w:style w:type="paragraph" w:customStyle="1" w:styleId="BodyTextBold">
    <w:name w:val="Body Text Bold"/>
    <w:basedOn w:val="BodyText"/>
    <w:qFormat/>
    <w:rsid w:val="004F1DA6"/>
    <w:rPr>
      <w:b/>
    </w:rPr>
  </w:style>
  <w:style w:type="character" w:styleId="Hyperlink">
    <w:name w:val="Hyperlink"/>
    <w:basedOn w:val="DefaultParagraphFont"/>
    <w:uiPriority w:val="99"/>
    <w:unhideWhenUsed/>
    <w:rsid w:val="00B555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1085</Words>
  <Characters>7027</Characters>
  <Application>Microsoft Office Word</Application>
  <DocSecurity>0</DocSecurity>
  <Lines>270</Lines>
  <Paragraphs>153</Paragraphs>
  <ScaleCrop>false</ScaleCrop>
  <Company>Author-it Software Corporation Ltd.</Company>
  <LinksUpToDate>false</LinksUpToDate>
  <CharactersWithSpaces>7959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CPCCPD2011 Handle and store painting and decorating materials</dc:title>
  <dc:subject>Approved</dc:subject>
  <dc:creator>BuildSkills Australia</dc:creator>
  <cp:keywords>Release: 3</cp:keywords>
  <dc:description>Review Date: 12 April 2008</dc:description>
  <cp:lastModifiedBy>HSD_TPCMSd.prod</cp:lastModifiedBy>
  <cp:revision>3</cp:revision>
  <dcterms:created xsi:type="dcterms:W3CDTF">2025-03-01T20:18:00Z</dcterms:created>
  <dcterms:modified xsi:type="dcterms:W3CDTF">2025-03-01T20:18:00Z</dcterms:modified>
</cp:coreProperties>
</file>