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35A" w:rsidP="00535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CPCCON3057 Core concrete</w:t>
      </w:r>
      <w:r>
        <w:fldChar w:fldCharType="end"/>
      </w:r>
    </w:p>
    <w:p w:rsidR="0053535A" w:rsidP="0053535A">
      <w:pPr>
        <w:pStyle w:val="Version"/>
        <w:sectPr w:rsidSect="00070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70BDA" w:rsidP="00070BDA">
      <w:pPr>
        <w:pStyle w:val="SuperHeading"/>
      </w:pPr>
      <w:r w:rsidRPr="00070BDA">
        <w:t>CPCCON3057 Core concrete</w:t>
      </w:r>
    </w:p>
    <w:p w:rsidR="00000000" w:rsidRPr="00070BDA" w:rsidP="00070BDA">
      <w:pPr>
        <w:pStyle w:val="Heading1"/>
      </w:pPr>
      <w:bookmarkStart w:id="1" w:name="O_1293216"/>
      <w:bookmarkEnd w:id="1"/>
      <w:r w:rsidRPr="00070B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Updated reference to general construction induction training program.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DA" w:rsidP="00070BDA">
            <w:pPr>
              <w:pStyle w:val="BodyText"/>
            </w:pPr>
            <w:r w:rsidRPr="00070BDA">
              <w:t>This version first released with CPC Construction, Plumbing and Services Training Package Release 5.1.</w:t>
            </w:r>
          </w:p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Minor edits to formatting.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DA" w:rsidP="00070BDA">
            <w:pPr>
              <w:pStyle w:val="BodyText"/>
            </w:pPr>
            <w:r w:rsidRPr="00070BDA">
              <w:t>Thi</w:t>
            </w:r>
            <w:r w:rsidRPr="00070BDA">
              <w:t>s version first released with CPC Construction, Plumbing and Services Training Package Release 5.0.</w:t>
            </w:r>
          </w:p>
          <w:p w:rsidR="00000000" w:rsidRPr="00070BDA" w:rsidP="00070BDA">
            <w:pPr>
              <w:pStyle w:val="BodyText"/>
            </w:pPr>
            <w:r w:rsidRPr="00070BDA">
              <w:t>New unit.</w:t>
            </w:r>
          </w:p>
        </w:tc>
      </w:tr>
    </w:tbl>
    <w:p w:rsidR="00000000" w:rsidRPr="00070BDA" w:rsidP="00070BDA">
      <w:pPr>
        <w:pStyle w:val="BodyText"/>
      </w:pPr>
    </w:p>
    <w:p w:rsidR="00000000" w:rsidRPr="00070BDA" w:rsidP="00070BDA">
      <w:pPr>
        <w:pStyle w:val="AllowPageBreak"/>
      </w:pPr>
    </w:p>
    <w:p w:rsidR="00000000" w:rsidRPr="00070BDA" w:rsidP="00070BDA">
      <w:pPr>
        <w:pStyle w:val="Heading1"/>
      </w:pPr>
      <w:bookmarkStart w:id="2" w:name="O_1293215"/>
      <w:bookmarkEnd w:id="2"/>
      <w:r w:rsidRPr="00070BDA">
        <w:t>Application</w:t>
      </w:r>
    </w:p>
    <w:p w:rsidR="00000000" w:rsidRPr="00070BDA" w:rsidP="0053535A">
      <w:pPr>
        <w:pStyle w:val="BodyText"/>
      </w:pPr>
      <w:r w:rsidRPr="00070BDA">
        <w:t>This unit of competency specifies the skills and knowledge required to safely core concrete.  It requires setting</w:t>
      </w:r>
      <w:r w:rsidRPr="00070BDA">
        <w:t xml:space="preserve"> up and using core drilling systems to drill holes in concrete to specification.</w:t>
      </w:r>
    </w:p>
    <w:p w:rsidR="00000000" w:rsidRPr="00070BDA" w:rsidP="0053535A">
      <w:pPr>
        <w:pStyle w:val="BodyText"/>
      </w:pPr>
      <w:r w:rsidRPr="00070BDA">
        <w:t>A person who has achieved this unit of competency would be expected to take responsibility for organising and completing these tasks with a high degree of self-direction.</w:t>
      </w:r>
    </w:p>
    <w:p w:rsidR="00000000" w:rsidRPr="00070BDA" w:rsidP="0053535A">
      <w:pPr>
        <w:pStyle w:val="BodyText"/>
      </w:pPr>
      <w:r w:rsidRPr="00070BDA">
        <w:t>Lice</w:t>
      </w:r>
      <w:r w:rsidRPr="00070BDA">
        <w:t>nsing, legislative, regulatory or certification requirements apply to this unit of competency in some states and territories. For further information, check with the relevant regulatory authority.</w:t>
      </w:r>
    </w:p>
    <w:p w:rsidR="00000000" w:rsidRPr="00070BDA" w:rsidP="0053535A">
      <w:pPr>
        <w:pStyle w:val="BodyText"/>
      </w:pPr>
      <w:r w:rsidRPr="00070BDA">
        <w:t>Completion of the general construction induction training p</w:t>
      </w:r>
      <w:r w:rsidRPr="00070BDA">
        <w:t>rogram, specified in the Safe Work Australia model </w:t>
      </w:r>
      <w:r w:rsidRPr="00070BDA">
        <w:rPr>
          <w:rStyle w:val="Emphasis"/>
        </w:rPr>
        <w:t>Code of Practice: Construction Work</w:t>
      </w:r>
      <w:r w:rsidRPr="00070BDA">
        <w:t xml:space="preserve">, is required by anyone carrying out construction work. Achievement of </w:t>
      </w:r>
      <w:r w:rsidRPr="00070BDA">
        <w:rPr>
          <w:rStyle w:val="Emphasis"/>
        </w:rPr>
        <w:t>CPCWHS1001</w:t>
      </w:r>
      <w:r w:rsidRPr="00070BDA">
        <w:t> </w:t>
      </w:r>
      <w:r w:rsidRPr="00070BDA">
        <w:rPr>
          <w:rStyle w:val="Emphasis"/>
        </w:rPr>
        <w:t>Prepare to work safely in the construction industry</w:t>
      </w:r>
      <w:r w:rsidRPr="00070BDA">
        <w:t> meets this requirement.</w:t>
      </w:r>
    </w:p>
    <w:p w:rsidR="00000000" w:rsidRPr="00070BDA" w:rsidP="00070BDA">
      <w:pPr>
        <w:pStyle w:val="Heading1"/>
      </w:pPr>
      <w:bookmarkStart w:id="3" w:name="O_1293214"/>
      <w:bookmarkEnd w:id="3"/>
      <w:r w:rsidRPr="00070BDA">
        <w:t>Pre-requisite Unit</w:t>
      </w:r>
    </w:p>
    <w:p w:rsidR="00000000" w:rsidRPr="00070BDA" w:rsidP="0053535A">
      <w:pPr>
        <w:pStyle w:val="BodyText"/>
      </w:pPr>
      <w:r w:rsidRPr="00070BDA">
        <w:t>CPCCWHS2001 Apply WHS requirements, policies and procedures in the construction industry</w:t>
      </w:r>
    </w:p>
    <w:p w:rsidR="00000000" w:rsidRPr="00070BDA" w:rsidP="00070BDA">
      <w:pPr>
        <w:pStyle w:val="Heading1"/>
      </w:pPr>
      <w:bookmarkStart w:id="4" w:name="O_1293213"/>
      <w:bookmarkEnd w:id="4"/>
      <w:r w:rsidRPr="00070BDA">
        <w:t>Unit Sector</w:t>
      </w:r>
    </w:p>
    <w:p w:rsidR="00000000" w:rsidRPr="00070BDA" w:rsidP="0053535A">
      <w:pPr>
        <w:pStyle w:val="BodyText"/>
      </w:pPr>
      <w:r w:rsidRPr="00070BDA">
        <w:t>Concreting</w:t>
      </w:r>
    </w:p>
    <w:p w:rsidR="00000000" w:rsidRPr="00070BDA" w:rsidP="00070BDA">
      <w:pPr>
        <w:pStyle w:val="Heading1"/>
      </w:pPr>
      <w:bookmarkStart w:id="5" w:name="O_1293212"/>
      <w:bookmarkEnd w:id="5"/>
      <w:r w:rsidRPr="00070B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 xml:space="preserve">Elements describe the </w:t>
            </w:r>
            <w:r w:rsidRPr="00070BD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P</w:t>
            </w:r>
            <w:r w:rsidRPr="00070BDA">
              <w:t xml:space="preserve">erformance criteria describe what needs to be done to </w:t>
            </w:r>
            <w:r w:rsidRPr="00070BDA">
              <w:t>demonstrate achievement of the element.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Plan and prepare to core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Interpret plans and specifications for concrete coring and clarify requirements with relevant persons.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Assess work site to determine concrete type, thickness, reinforcement and base type impacting coring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Plan work tasks to comply with relevant legislation, regulations, standards and codes, and manufacturer, work health and safety (WHS),</w:t>
            </w:r>
            <w:r w:rsidRPr="00070BDA">
              <w:t xml:space="preserve"> environmental and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Select and fit required personal protective equipment (PPE).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Inspect work site, assess hazards and apply risk controls, including required signage and barricades.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Select and set up core drilling system appropriate to the task, check for serviceability and rectify or report any faults.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Select and attach drill motor and drill bit appropriate to the task according to manufacturer and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Carry out concrete coring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Conduct measurements and calculations to correctly set out and mark up drill hole according to specifications.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Identify core plug removal and securing method according to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Drill hole in concrete according to specifications, manufacturer and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Monitor drilling system to ensure correct and safe operation according to manufacturer and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 xml:space="preserve">Remove core plug safely according </w:t>
            </w:r>
            <w:r w:rsidRPr="00070BDA">
              <w:t>to workplace 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 xml:space="preserve">Clear work area and dispose of, reuse or recycle materials in accordance with regulatory and workplace </w:t>
            </w:r>
            <w:r w:rsidRPr="00070BDA">
              <w:t>requirements.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DA" w:rsidP="00070BDA">
            <w:pPr>
              <w:pStyle w:val="BodyText"/>
            </w:pPr>
            <w:r w:rsidRPr="00070BDA">
              <w:t>Clean, check, maintain and store tools and equipment in accordance with manufacturer and workplace requirements.</w:t>
            </w:r>
          </w:p>
        </w:tc>
      </w:tr>
    </w:tbl>
    <w:p w:rsidR="00000000" w:rsidRPr="00070BDA" w:rsidP="00070BDA">
      <w:pPr>
        <w:pStyle w:val="BodyText"/>
      </w:pPr>
    </w:p>
    <w:p w:rsidR="00000000" w:rsidRPr="00070BDA" w:rsidP="00070BDA">
      <w:pPr>
        <w:pStyle w:val="AllowPageBreak"/>
      </w:pPr>
    </w:p>
    <w:p w:rsidR="00000000" w:rsidRPr="00070BDA" w:rsidP="00070BDA">
      <w:pPr>
        <w:pStyle w:val="Heading1"/>
      </w:pPr>
      <w:bookmarkStart w:id="6" w:name="O_1293211"/>
      <w:bookmarkEnd w:id="6"/>
      <w:r w:rsidRPr="00070BDA">
        <w:t>Foundation Skills</w:t>
      </w:r>
    </w:p>
    <w:p w:rsidR="00000000" w:rsidRPr="00070BDA" w:rsidP="0053535A">
      <w:pPr>
        <w:pStyle w:val="BodyText"/>
      </w:pPr>
      <w:r w:rsidRPr="00070BDA">
        <w:t xml:space="preserve">Foundation skills essential to performance are explicit in the performance criteria of this unit of competency. </w:t>
      </w:r>
    </w:p>
    <w:p w:rsidR="00000000" w:rsidRPr="00070BDA" w:rsidP="00070BDA">
      <w:pPr>
        <w:pStyle w:val="Heading1"/>
      </w:pPr>
      <w:bookmarkStart w:id="7" w:name="O_1293210"/>
      <w:bookmarkEnd w:id="7"/>
      <w:r w:rsidRPr="00070BDA">
        <w:t>Unit Mapping Information</w:t>
      </w:r>
    </w:p>
    <w:p w:rsidR="00000000" w:rsidRPr="00070BDA" w:rsidP="0053535A">
      <w:pPr>
        <w:pStyle w:val="BodyText"/>
      </w:pPr>
      <w:r w:rsidRPr="00070BDA">
        <w:t>No equivalent unit.</w:t>
      </w:r>
    </w:p>
    <w:p w:rsidR="00000000" w:rsidRPr="00070BDA" w:rsidP="00070BDA">
      <w:pPr>
        <w:pStyle w:val="Heading1"/>
      </w:pPr>
      <w:bookmarkStart w:id="8" w:name="O_1293217"/>
      <w:bookmarkEnd w:id="8"/>
      <w:r w:rsidRPr="00070BDA">
        <w:t>Links</w:t>
      </w:r>
    </w:p>
    <w:p w:rsidR="00000000" w:rsidRPr="00070BDA" w:rsidP="0053535A">
      <w:pPr>
        <w:pStyle w:val="BodyText"/>
      </w:pPr>
      <w:r w:rsidRPr="00070BDA">
        <w:t>Companion volumes to this training package are availab</w:t>
      </w:r>
      <w:r w:rsidRPr="00070BDA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41E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70BDA" w:rsidP="0053535A">
      <w:pPr>
        <w:pStyle w:val="BodyText"/>
        <w:sectPr w:rsidSect="00070B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0BDA" w:rsidP="00070BDA">
      <w:pPr>
        <w:pStyle w:val="SuperHeading"/>
      </w:pPr>
      <w:r w:rsidRPr="00070BDA">
        <w:t>Assessment Requirements for CPCCON3057 Core concrete</w:t>
      </w:r>
    </w:p>
    <w:p w:rsidR="00000000" w:rsidRPr="00070BDA" w:rsidP="00070BDA">
      <w:pPr>
        <w:pStyle w:val="Heading1"/>
      </w:pPr>
      <w:bookmarkStart w:id="9" w:name="O_1293208"/>
      <w:bookmarkEnd w:id="9"/>
      <w:r w:rsidRPr="00070B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</w:t>
            </w:r>
            <w:r w:rsidRPr="00070BDA">
              <w:t>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Updated reference to general construction induction training program.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DA" w:rsidP="00070BDA">
            <w:pPr>
              <w:pStyle w:val="BodyText"/>
            </w:pPr>
            <w:r w:rsidRPr="00070BDA">
              <w:t>This version first released with CPC Construction, Plumbing and Services Training Package Release 5.1.</w:t>
            </w:r>
          </w:p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Minor edits to formatting.</w:t>
            </w:r>
          </w:p>
        </w:tc>
      </w:tr>
      <w:tr w:rsidTr="00070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BDA">
            <w:pPr>
              <w:pStyle w:val="BodyText"/>
              <w:rPr>
                <w:lang w:val="en-NZ"/>
              </w:rPr>
            </w:pPr>
            <w:r w:rsidRPr="00070B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BDA" w:rsidP="00070BDA">
            <w:pPr>
              <w:pStyle w:val="BodyText"/>
            </w:pPr>
            <w:r w:rsidRPr="00070BDA">
              <w:t>This version first released with CPC Construction, Plumbing and Services Training Package Release 5.0.</w:t>
            </w:r>
          </w:p>
          <w:p w:rsidR="00000000" w:rsidRPr="00070BDA" w:rsidP="00070BDA">
            <w:pPr>
              <w:pStyle w:val="BodyText"/>
            </w:pPr>
            <w:r w:rsidRPr="00070BDA">
              <w:t>New unit.</w:t>
            </w:r>
          </w:p>
        </w:tc>
      </w:tr>
    </w:tbl>
    <w:p w:rsidR="00000000" w:rsidRPr="00070BDA" w:rsidP="00070BDA">
      <w:pPr>
        <w:pStyle w:val="BodyText"/>
      </w:pPr>
    </w:p>
    <w:p w:rsidR="00000000" w:rsidRPr="00070BDA" w:rsidP="00070BDA">
      <w:pPr>
        <w:pStyle w:val="AllowPageBreak"/>
      </w:pPr>
    </w:p>
    <w:p w:rsidR="00000000" w:rsidRPr="00070BDA" w:rsidP="00070BDA">
      <w:pPr>
        <w:pStyle w:val="Heading1"/>
      </w:pPr>
      <w:bookmarkStart w:id="10" w:name="O_1293207"/>
      <w:bookmarkEnd w:id="10"/>
      <w:r w:rsidRPr="00070BDA">
        <w:t>Performance Evidence</w:t>
      </w:r>
    </w:p>
    <w:p w:rsidR="00000000" w:rsidRPr="00070BDA" w:rsidP="0053535A">
      <w:pPr>
        <w:pStyle w:val="BodyText"/>
      </w:pPr>
      <w:r w:rsidRPr="00070BDA">
        <w:t>To demonstrate competency, a candidate must meet the elements and performance criteria of this unit b</w:t>
      </w:r>
      <w:r w:rsidRPr="00070BDA">
        <w:t>y coring concrete on two different occasions including coring one hole in a vertical concrete surface, clear through a minimum of 100 millimetres in depth.</w:t>
      </w:r>
    </w:p>
    <w:p w:rsidR="00000000" w:rsidRPr="00070BDA" w:rsidP="00070BDA">
      <w:pPr>
        <w:pStyle w:val="Heading1"/>
      </w:pPr>
      <w:bookmarkStart w:id="11" w:name="O_1293206"/>
      <w:bookmarkEnd w:id="11"/>
      <w:r w:rsidRPr="00070BDA">
        <w:t>Knowledge Evidence</w:t>
      </w:r>
    </w:p>
    <w:p w:rsidR="00000000" w:rsidRPr="00070BDA" w:rsidP="0053535A">
      <w:pPr>
        <w:pStyle w:val="BodyText"/>
      </w:pPr>
      <w:r w:rsidRPr="00070BDA">
        <w:t>To be competent in this unit, a candidate must demonstrate kno</w:t>
      </w:r>
      <w:r w:rsidRPr="00070BDA">
        <w:t>wledge of:</w:t>
      </w:r>
    </w:p>
    <w:p w:rsidR="00000000" w:rsidRPr="00070BDA" w:rsidP="00070BDA">
      <w:pPr>
        <w:pStyle w:val="ListBullet"/>
      </w:pPr>
      <w:r w:rsidRPr="00070BDA">
        <w:t>compliance requirements of legislation, regulations, codes and Australian Standards relevant to concrete coring tasks:</w:t>
      </w:r>
    </w:p>
    <w:p w:rsidR="00000000" w:rsidRPr="00070BDA" w:rsidP="00070BDA">
      <w:pPr>
        <w:pStyle w:val="ListBullet2"/>
      </w:pPr>
      <w:r w:rsidRPr="00070BDA">
        <w:t>environmental protection and waste disposal</w:t>
      </w:r>
    </w:p>
    <w:p w:rsidR="00000000" w:rsidRPr="00070BDA" w:rsidP="00070BDA">
      <w:pPr>
        <w:pStyle w:val="ListBullet2"/>
      </w:pPr>
      <w:r w:rsidRPr="00070BDA">
        <w:t>tolerances for alignment associated with core drilling diameters and lengths</w:t>
      </w:r>
    </w:p>
    <w:p w:rsidR="00000000" w:rsidRPr="00070BDA" w:rsidP="00070BDA">
      <w:pPr>
        <w:pStyle w:val="ListBullet2"/>
      </w:pPr>
      <w:r w:rsidRPr="00070BDA">
        <w:t>work health and safety (WHS)</w:t>
      </w:r>
    </w:p>
    <w:p w:rsidR="00000000" w:rsidRPr="00070BDA" w:rsidP="00070BDA">
      <w:pPr>
        <w:pStyle w:val="ListBullet"/>
      </w:pPr>
      <w:r w:rsidRPr="00070BDA">
        <w:t>concrete coring processes and techniques:</w:t>
      </w:r>
    </w:p>
    <w:p w:rsidR="00000000" w:rsidRPr="00070BDA" w:rsidP="00070BDA">
      <w:pPr>
        <w:pStyle w:val="ListBullet2"/>
      </w:pPr>
      <w:r w:rsidRPr="00070BDA">
        <w:t>setting out and marking up drill holes</w:t>
      </w:r>
    </w:p>
    <w:p w:rsidR="00000000" w:rsidRPr="00070BDA" w:rsidP="00070BDA">
      <w:pPr>
        <w:pStyle w:val="ListBullet2"/>
      </w:pPr>
      <w:r w:rsidRPr="00070BDA">
        <w:t>methods for safely securing and removing plugs</w:t>
      </w:r>
    </w:p>
    <w:p w:rsidR="00000000" w:rsidRPr="00070BDA" w:rsidP="00070BDA">
      <w:pPr>
        <w:pStyle w:val="ListBullet"/>
      </w:pPr>
      <w:r w:rsidRPr="00070BDA">
        <w:t>core drilling system components and applications:</w:t>
      </w:r>
    </w:p>
    <w:p w:rsidR="00000000" w:rsidRPr="00070BDA" w:rsidP="00070BDA">
      <w:pPr>
        <w:pStyle w:val="ListBullet2"/>
      </w:pPr>
      <w:r w:rsidRPr="00070BDA">
        <w:t>diamond drill bit</w:t>
      </w:r>
    </w:p>
    <w:p w:rsidR="00000000" w:rsidRPr="00070BDA" w:rsidP="00070BDA">
      <w:pPr>
        <w:pStyle w:val="ListBullet2"/>
      </w:pPr>
      <w:r w:rsidRPr="00070BDA">
        <w:t>drilling accessories</w:t>
      </w:r>
    </w:p>
    <w:p w:rsidR="00000000" w:rsidRPr="00070BDA" w:rsidP="00070BDA">
      <w:pPr>
        <w:pStyle w:val="ListBullet2"/>
      </w:pPr>
      <w:r w:rsidRPr="00070BDA">
        <w:t xml:space="preserve">drill </w:t>
      </w:r>
      <w:r w:rsidRPr="00070BDA">
        <w:t>motor</w:t>
      </w:r>
    </w:p>
    <w:p w:rsidR="00000000" w:rsidRPr="00070BDA" w:rsidP="00070BDA">
      <w:pPr>
        <w:pStyle w:val="ListBullet2"/>
      </w:pPr>
      <w:r w:rsidRPr="00070BDA">
        <w:t>drill stand</w:t>
      </w:r>
    </w:p>
    <w:p w:rsidR="00000000" w:rsidRPr="00070BDA" w:rsidP="00070BDA">
      <w:pPr>
        <w:pStyle w:val="ListBullet"/>
      </w:pPr>
      <w:r w:rsidRPr="00070BDA">
        <w:t>typical hazards associated with concrete coring using drilling systems, and risk control methods for each:</w:t>
      </w:r>
    </w:p>
    <w:p w:rsidR="00000000" w:rsidRPr="00070BDA" w:rsidP="00070BDA">
      <w:pPr>
        <w:pStyle w:val="ListBullet2"/>
      </w:pPr>
      <w:r w:rsidRPr="00070BDA">
        <w:t>electrocution</w:t>
      </w:r>
    </w:p>
    <w:p w:rsidR="00000000" w:rsidRPr="00070BDA" w:rsidP="00070BDA">
      <w:pPr>
        <w:pStyle w:val="ListBullet2"/>
      </w:pPr>
      <w:r w:rsidRPr="00070BDA">
        <w:t>silica dust exposure</w:t>
      </w:r>
    </w:p>
    <w:p w:rsidR="00000000" w:rsidRPr="00070BDA" w:rsidP="00070BDA">
      <w:pPr>
        <w:pStyle w:val="ListBullet2"/>
      </w:pPr>
      <w:r w:rsidRPr="00070BDA">
        <w:t>toxic fumes</w:t>
      </w:r>
    </w:p>
    <w:p w:rsidR="00000000" w:rsidRPr="00070BDA" w:rsidP="00070BDA">
      <w:pPr>
        <w:pStyle w:val="ListBullet"/>
      </w:pPr>
      <w:r w:rsidRPr="00070BDA">
        <w:t>workplace requirements for coring concrete:</w:t>
      </w:r>
    </w:p>
    <w:p w:rsidR="00000000" w:rsidRPr="00070BDA" w:rsidP="00070BDA">
      <w:pPr>
        <w:pStyle w:val="ListBullet2"/>
      </w:pPr>
      <w:r w:rsidRPr="00070BDA">
        <w:t>cleaning up the work area</w:t>
      </w:r>
    </w:p>
    <w:p w:rsidR="00000000" w:rsidRPr="00070BDA" w:rsidP="00070BDA">
      <w:pPr>
        <w:pStyle w:val="ListBullet2"/>
      </w:pPr>
      <w:r w:rsidRPr="00070BDA">
        <w:t>maintaining and storing tools and equipment</w:t>
      </w:r>
    </w:p>
    <w:p w:rsidR="00000000" w:rsidRPr="00070BDA" w:rsidP="00070BDA">
      <w:pPr>
        <w:pStyle w:val="ListBullet2"/>
      </w:pPr>
      <w:r w:rsidRPr="00070BDA">
        <w:t>quality</w:t>
      </w:r>
    </w:p>
    <w:p w:rsidR="00000000" w:rsidRPr="00070BDA" w:rsidP="00070BDA">
      <w:pPr>
        <w:pStyle w:val="ListBullet2"/>
      </w:pPr>
      <w:r w:rsidRPr="00070BDA">
        <w:t>reporting problems</w:t>
      </w:r>
    </w:p>
    <w:p w:rsidR="00000000" w:rsidRPr="00070BDA" w:rsidP="00070BDA">
      <w:pPr>
        <w:pStyle w:val="ListBullet2"/>
      </w:pPr>
      <w:r w:rsidRPr="00070BDA">
        <w:t>safety requirements including dust suppression and personal protective equipment (PPE).</w:t>
      </w:r>
    </w:p>
    <w:p w:rsidR="00000000" w:rsidRPr="00070BDA" w:rsidP="00070BDA">
      <w:pPr>
        <w:pStyle w:val="AllowPageBreak"/>
      </w:pPr>
    </w:p>
    <w:p w:rsidR="00000000" w:rsidRPr="00070BDA" w:rsidP="00070BDA">
      <w:pPr>
        <w:pStyle w:val="Heading1"/>
      </w:pPr>
      <w:bookmarkStart w:id="12" w:name="O_1293205"/>
      <w:bookmarkEnd w:id="12"/>
      <w:r w:rsidRPr="00070BDA">
        <w:t>Assessment Conditions</w:t>
      </w:r>
    </w:p>
    <w:p w:rsidR="00000000" w:rsidRPr="00070BDA" w:rsidP="0053535A">
      <w:pPr>
        <w:pStyle w:val="BodyText"/>
      </w:pPr>
      <w:r w:rsidRPr="00070BDA">
        <w:t>Assessors must meet the requirements for assessors conta</w:t>
      </w:r>
      <w:r w:rsidRPr="00070BDA">
        <w:t xml:space="preserve">ined in the Standards for Registered Training Organisations. </w:t>
      </w:r>
    </w:p>
    <w:p w:rsidR="00000000" w:rsidRPr="00070BDA" w:rsidP="0053535A">
      <w:pPr>
        <w:pStyle w:val="BodyText"/>
      </w:pPr>
      <w:r w:rsidRPr="00070BDA">
        <w:t>Assessment must be conducted in the workplace or a simulated workplace using realistic conditions, materials, activities, responsibilities, procedures, safety requirements and environmental cons</w:t>
      </w:r>
      <w:r w:rsidRPr="00070BDA">
        <w:t>iderations.</w:t>
      </w:r>
    </w:p>
    <w:p w:rsidR="00000000" w:rsidRPr="00070BDA" w:rsidP="0053535A">
      <w:pPr>
        <w:pStyle w:val="BodyText"/>
      </w:pPr>
      <w:r w:rsidRPr="00070BDA">
        <w:t>Candidates must have access to documentation, specifications, concrete, tools and equipment required to achieve the performance evidence.</w:t>
      </w:r>
    </w:p>
    <w:p w:rsidR="00000000" w:rsidRPr="00070BDA" w:rsidP="00070BDA">
      <w:pPr>
        <w:pStyle w:val="Heading1"/>
      </w:pPr>
      <w:bookmarkStart w:id="13" w:name="O_1293218"/>
      <w:bookmarkEnd w:id="13"/>
      <w:r w:rsidRPr="00070BDA">
        <w:t>Links</w:t>
      </w:r>
    </w:p>
    <w:p w:rsidR="00000000" w:rsidRPr="00070BDA" w:rsidP="0053535A">
      <w:pPr>
        <w:pStyle w:val="BodyText"/>
      </w:pPr>
      <w:r w:rsidRPr="00070BD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41E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70BDA" w:rsidP="00070BDA"/>
    <w:sectPr w:rsidSect="00070B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 w:rsidRPr="0053535A" w:rsidP="00535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5A" w:rsidP="00070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35A" w:rsidP="00070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535A" w:rsidP="00070B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 w:rsidP="00070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35A">
      <w:t>Approved</w:t>
    </w:r>
    <w:r w:rsidR="005353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3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35A">
      <w:rPr>
        <w:noProof/>
      </w:rPr>
      <w:t>4</w:t>
    </w:r>
    <w:r>
      <w:rPr>
        <w:noProof/>
      </w:rPr>
      <w:fldChar w:fldCharType="end"/>
    </w:r>
  </w:p>
  <w:p w:rsidR="00070BDA" w:rsidP="00070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3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35A">
      <w:t>BuildSkills Australia</w:t>
    </w:r>
    <w:r w:rsidR="0053535A">
      <w:fldChar w:fldCharType="end"/>
    </w:r>
  </w:p>
  <w:p w:rsidR="00070BDA" w:rsidP="00070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BDA" w:rsidRPr="0053535A" w:rsidP="00535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5A" w:rsidRPr="002D2AF8" w:rsidP="00070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CPCCON3057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35A" w:rsidP="00070B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DA" w:rsidRPr="002D2AF8" w:rsidP="00070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35A">
      <w:t>CPCCON3057 Core concrete</w:t>
    </w:r>
    <w:r w:rsidR="005353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35A">
      <w:rPr>
        <w:noProof/>
      </w:rPr>
      <w:t>2 March 2025</w:t>
    </w:r>
    <w:r>
      <w:fldChar w:fldCharType="end"/>
    </w:r>
  </w:p>
  <w:p w:rsidR="00070BDA" w:rsidP="00070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C1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CE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EE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BDA"/>
  </w:style>
  <w:style w:type="character" w:customStyle="1" w:styleId="Heading1Char">
    <w:name w:val="Heading 1 Char"/>
    <w:basedOn w:val="DefaultParagraphFont"/>
    <w:link w:val="Heading1"/>
    <w:rsid w:val="00070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B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0B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0BDA"/>
    <w:rPr>
      <w:i/>
    </w:rPr>
  </w:style>
  <w:style w:type="paragraph" w:customStyle="1" w:styleId="SuperHeading">
    <w:name w:val="SuperHeading"/>
    <w:basedOn w:val="Normal"/>
    <w:rsid w:val="00070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BDA"/>
    <w:rPr>
      <w:b/>
      <w:spacing w:val="0"/>
    </w:rPr>
  </w:style>
  <w:style w:type="paragraph" w:customStyle="1" w:styleId="SuperTitle">
    <w:name w:val="SuperTitle"/>
    <w:basedOn w:val="Title"/>
    <w:rsid w:val="00070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0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BDA"/>
  </w:style>
  <w:style w:type="paragraph" w:styleId="TableofFigures">
    <w:name w:val="table of figures"/>
    <w:basedOn w:val="Normal"/>
    <w:next w:val="Normal"/>
    <w:semiHidden/>
    <w:rsid w:val="00070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B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0BDA"/>
    <w:rPr>
      <w:rFonts w:ascii="Wingdings" w:hAnsi="Wingdings"/>
    </w:rPr>
  </w:style>
  <w:style w:type="paragraph" w:customStyle="1" w:styleId="TableHeading">
    <w:name w:val="Table Heading"/>
    <w:basedOn w:val="HeadingBase"/>
    <w:rsid w:val="00070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BDA"/>
    <w:rPr>
      <w:color w:val="0033CC"/>
      <w:u w:val="none"/>
    </w:rPr>
  </w:style>
  <w:style w:type="paragraph" w:customStyle="1" w:styleId="BodyTextRight">
    <w:name w:val="Body Text Right"/>
    <w:basedOn w:val="BodyText"/>
    <w:rsid w:val="00070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B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BDA"/>
    <w:rPr>
      <w:sz w:val="32"/>
    </w:rPr>
  </w:style>
  <w:style w:type="paragraph" w:customStyle="1" w:styleId="HeadingProcedure">
    <w:name w:val="Heading Procedure"/>
    <w:basedOn w:val="HeadingBase"/>
    <w:next w:val="Normal"/>
    <w:rsid w:val="00070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BDA"/>
    <w:pPr>
      <w:spacing w:before="60" w:after="60"/>
    </w:pPr>
  </w:style>
  <w:style w:type="paragraph" w:styleId="ListContinue">
    <w:name w:val="List Continue"/>
    <w:basedOn w:val="List"/>
    <w:rsid w:val="00070BDA"/>
    <w:pPr>
      <w:ind w:firstLine="0"/>
    </w:pPr>
  </w:style>
  <w:style w:type="paragraph" w:customStyle="1" w:styleId="ListNote">
    <w:name w:val="List Note"/>
    <w:basedOn w:val="List"/>
    <w:rsid w:val="00070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BDA"/>
    <w:rPr>
      <w:rFonts w:ascii="Courier New" w:hAnsi="Courier New"/>
    </w:rPr>
  </w:style>
  <w:style w:type="paragraph" w:customStyle="1" w:styleId="NoteBullet">
    <w:name w:val="Note Bullet"/>
    <w:basedOn w:val="Note"/>
    <w:rsid w:val="00070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B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0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BDA"/>
    <w:rPr>
      <w:b/>
      <w:smallCaps/>
    </w:rPr>
  </w:style>
  <w:style w:type="paragraph" w:customStyle="1" w:styleId="TableListNumber">
    <w:name w:val="Table List Number"/>
    <w:basedOn w:val="ListNumber"/>
    <w:rsid w:val="00070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BDA"/>
    <w:pPr>
      <w:numPr>
        <w:numId w:val="9"/>
      </w:numPr>
    </w:pPr>
  </w:style>
  <w:style w:type="paragraph" w:customStyle="1" w:styleId="ListAlpha2">
    <w:name w:val="List Alpha 2"/>
    <w:basedOn w:val="List2"/>
    <w:rsid w:val="00070BDA"/>
    <w:pPr>
      <w:numPr>
        <w:numId w:val="8"/>
      </w:numPr>
    </w:pPr>
  </w:style>
  <w:style w:type="paragraph" w:styleId="List2">
    <w:name w:val="List 2"/>
    <w:basedOn w:val="BodyText"/>
    <w:rsid w:val="00070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B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B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0BDA"/>
    <w:pPr>
      <w:numPr>
        <w:numId w:val="4"/>
      </w:numPr>
    </w:pPr>
  </w:style>
  <w:style w:type="paragraph" w:styleId="ListContinue2">
    <w:name w:val="List Continue 2"/>
    <w:basedOn w:val="List2"/>
    <w:rsid w:val="00070BDA"/>
    <w:pPr>
      <w:ind w:firstLine="0"/>
    </w:pPr>
  </w:style>
  <w:style w:type="paragraph" w:styleId="ListContinue3">
    <w:name w:val="List Continue 3"/>
    <w:basedOn w:val="List3"/>
    <w:rsid w:val="00070BDA"/>
    <w:pPr>
      <w:ind w:left="1021" w:firstLine="0"/>
    </w:pPr>
  </w:style>
  <w:style w:type="paragraph" w:styleId="ListContinue4">
    <w:name w:val="List Continue 4"/>
    <w:basedOn w:val="List4"/>
    <w:rsid w:val="00070BDA"/>
    <w:pPr>
      <w:ind w:firstLine="0"/>
    </w:pPr>
  </w:style>
  <w:style w:type="paragraph" w:styleId="ListContinue5">
    <w:name w:val="List Continue 5"/>
    <w:basedOn w:val="List5"/>
    <w:rsid w:val="00070BDA"/>
    <w:pPr>
      <w:ind w:firstLine="0"/>
    </w:pPr>
  </w:style>
  <w:style w:type="paragraph" w:styleId="ListNumber3">
    <w:name w:val="List Number 3"/>
    <w:basedOn w:val="List3"/>
    <w:rsid w:val="00070BDA"/>
    <w:pPr>
      <w:numPr>
        <w:numId w:val="5"/>
      </w:numPr>
    </w:pPr>
  </w:style>
  <w:style w:type="paragraph" w:styleId="ListNumber4">
    <w:name w:val="List Number 4"/>
    <w:basedOn w:val="List4"/>
    <w:rsid w:val="00070BDA"/>
    <w:pPr>
      <w:numPr>
        <w:numId w:val="6"/>
      </w:numPr>
    </w:pPr>
  </w:style>
  <w:style w:type="paragraph" w:styleId="ListNumber5">
    <w:name w:val="List Number 5"/>
    <w:basedOn w:val="List5"/>
    <w:rsid w:val="00070BDA"/>
    <w:pPr>
      <w:numPr>
        <w:numId w:val="7"/>
      </w:numPr>
    </w:pPr>
  </w:style>
  <w:style w:type="paragraph" w:styleId="BlockText">
    <w:name w:val="Block Text"/>
    <w:basedOn w:val="Normal"/>
    <w:rsid w:val="00070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BDA"/>
    <w:rPr>
      <w:sz w:val="16"/>
      <w:vertAlign w:val="superscript"/>
    </w:rPr>
  </w:style>
  <w:style w:type="character" w:customStyle="1" w:styleId="Symbols">
    <w:name w:val="Symbols"/>
    <w:basedOn w:val="DefaultParagraphFont"/>
    <w:rsid w:val="00070BDA"/>
    <w:rPr>
      <w:rFonts w:ascii="Symbol" w:hAnsi="Symbol"/>
    </w:rPr>
  </w:style>
  <w:style w:type="character" w:customStyle="1" w:styleId="MenuOptions">
    <w:name w:val="Menu Options"/>
    <w:basedOn w:val="DefaultParagraphFont"/>
    <w:rsid w:val="00070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BDA"/>
    <w:rPr>
      <w:b/>
    </w:rPr>
  </w:style>
  <w:style w:type="character" w:customStyle="1" w:styleId="Underlined">
    <w:name w:val="Underlined"/>
    <w:basedOn w:val="DefaultParagraphFont"/>
    <w:rsid w:val="00070BDA"/>
    <w:rPr>
      <w:u w:val="single"/>
    </w:rPr>
  </w:style>
  <w:style w:type="paragraph" w:customStyle="1" w:styleId="TableBodyTextRight">
    <w:name w:val="Table Body Text Right"/>
    <w:basedOn w:val="TableBodyText"/>
    <w:rsid w:val="00070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BDA"/>
    <w:rPr>
      <w:sz w:val="18"/>
    </w:rPr>
  </w:style>
  <w:style w:type="paragraph" w:customStyle="1" w:styleId="BodySmallRight">
    <w:name w:val="Body Small Right"/>
    <w:basedOn w:val="BodyTextRight"/>
    <w:rsid w:val="00070BDA"/>
    <w:rPr>
      <w:sz w:val="18"/>
      <w:szCs w:val="18"/>
    </w:rPr>
  </w:style>
  <w:style w:type="paragraph" w:customStyle="1" w:styleId="MarginEdition">
    <w:name w:val="Margin Edition"/>
    <w:basedOn w:val="MarginNote"/>
    <w:rsid w:val="00070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BDA"/>
    <w:rPr>
      <w:sz w:val="2"/>
      <w:szCs w:val="2"/>
    </w:rPr>
  </w:style>
  <w:style w:type="character" w:customStyle="1" w:styleId="Small">
    <w:name w:val="Small"/>
    <w:basedOn w:val="DefaultParagraphFont"/>
    <w:rsid w:val="00070BDA"/>
    <w:rPr>
      <w:sz w:val="16"/>
    </w:rPr>
  </w:style>
  <w:style w:type="paragraph" w:customStyle="1" w:styleId="WideTable">
    <w:name w:val="Wide Table"/>
    <w:basedOn w:val="Normal"/>
    <w:rsid w:val="00070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BDA"/>
  </w:style>
  <w:style w:type="paragraph" w:styleId="Quote">
    <w:name w:val="Quote"/>
    <w:basedOn w:val="Heading1"/>
    <w:link w:val="QuoteChar"/>
    <w:qFormat/>
    <w:rsid w:val="00070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BDA"/>
    <w:pPr>
      <w:pageBreakBefore/>
    </w:pPr>
  </w:style>
  <w:style w:type="paragraph" w:customStyle="1" w:styleId="Border">
    <w:name w:val="Border"/>
    <w:basedOn w:val="Normal"/>
    <w:qFormat/>
    <w:rsid w:val="00070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BDA"/>
    <w:rPr>
      <w:u w:val="single"/>
    </w:rPr>
  </w:style>
  <w:style w:type="character" w:customStyle="1" w:styleId="BoldandItalics">
    <w:name w:val="Bold and Italics"/>
    <w:qFormat/>
    <w:rsid w:val="00070BDA"/>
    <w:rPr>
      <w:b/>
      <w:i/>
      <w:u w:val="none"/>
    </w:rPr>
  </w:style>
  <w:style w:type="paragraph" w:styleId="BalloonText">
    <w:name w:val="Balloon Text"/>
    <w:basedOn w:val="Normal"/>
    <w:link w:val="BalloonTextChar"/>
    <w:rsid w:val="00070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BDA"/>
    <w:pPr>
      <w:spacing w:before="0" w:after="0"/>
    </w:pPr>
  </w:style>
  <w:style w:type="paragraph" w:customStyle="1" w:styleId="BodyTextBold">
    <w:name w:val="Body Text Bold"/>
    <w:basedOn w:val="BodyText"/>
    <w:qFormat/>
    <w:rsid w:val="00070BDA"/>
    <w:rPr>
      <w:b/>
    </w:rPr>
  </w:style>
  <w:style w:type="character" w:styleId="Hyperlink">
    <w:name w:val="Hyperlink"/>
    <w:basedOn w:val="DefaultParagraphFont"/>
    <w:uiPriority w:val="99"/>
    <w:unhideWhenUsed/>
    <w:rsid w:val="00535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5421</Characters>
  <Application>Microsoft Office Word</Application>
  <DocSecurity>0</DocSecurity>
  <Lines>208</Lines>
  <Paragraphs>127</Paragraphs>
  <ScaleCrop>false</ScaleCrop>
  <Company>Author-it Software Corporation Ltd.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CPCCON3057 Core concrete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