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F0A" w:rsidP="00C57F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CPCCON3056 Conduct concrete pump delivery operations</w:t>
      </w:r>
      <w:r>
        <w:fldChar w:fldCharType="end"/>
      </w:r>
    </w:p>
    <w:p w:rsidR="00C57F0A" w:rsidP="00C57F0A">
      <w:pPr>
        <w:pStyle w:val="Version"/>
        <w:sectPr w:rsidSect="00EB47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B4747" w:rsidP="00EB4747">
      <w:pPr>
        <w:pStyle w:val="SuperHeading"/>
      </w:pPr>
      <w:r w:rsidRPr="00EB4747">
        <w:t>Assessment Requirements for CPCCON3056 Conduct concrete pump delivery operations</w:t>
      </w:r>
    </w:p>
    <w:p w:rsidR="00000000" w:rsidRPr="00EB4747" w:rsidP="00EB4747">
      <w:pPr>
        <w:pStyle w:val="Heading1"/>
      </w:pPr>
      <w:bookmarkStart w:id="1" w:name="O_1293224"/>
      <w:bookmarkEnd w:id="1"/>
      <w:r w:rsidRPr="00EB47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B4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47">
            <w:pPr>
              <w:pStyle w:val="BodyText"/>
              <w:rPr>
                <w:lang w:val="en-NZ"/>
              </w:rPr>
            </w:pPr>
            <w:r w:rsidRPr="00EB474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47">
            <w:pPr>
              <w:pStyle w:val="BodyText"/>
              <w:rPr>
                <w:lang w:val="en-NZ"/>
              </w:rPr>
            </w:pPr>
            <w:r w:rsidRPr="00EB4747">
              <w:t>Updated reference to general construction induction training program.</w:t>
            </w:r>
          </w:p>
        </w:tc>
      </w:tr>
      <w:tr w:rsidTr="00EB4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47">
            <w:pPr>
              <w:pStyle w:val="BodyText"/>
              <w:rPr>
                <w:lang w:val="en-NZ"/>
              </w:rPr>
            </w:pPr>
            <w:r w:rsidRPr="00EB474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747" w:rsidP="00EB4747">
            <w:pPr>
              <w:pStyle w:val="BodyText"/>
            </w:pPr>
            <w:r w:rsidRPr="00EB4747">
              <w:t>This version first released with CPC Construction, Plumbing and Services Training Package Release 5.1.</w:t>
            </w:r>
          </w:p>
          <w:p w:rsidR="00000000" w:rsidP="00EB4747">
            <w:pPr>
              <w:pStyle w:val="BodyText"/>
              <w:rPr>
                <w:lang w:val="en-NZ"/>
              </w:rPr>
            </w:pPr>
            <w:r w:rsidRPr="00EB4747">
              <w:t>Performance Criteria 3.1 rectified.</w:t>
            </w:r>
          </w:p>
        </w:tc>
      </w:tr>
      <w:tr w:rsidTr="00EB4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47">
            <w:pPr>
              <w:pStyle w:val="BodyText"/>
              <w:rPr>
                <w:lang w:val="en-NZ"/>
              </w:rPr>
            </w:pPr>
            <w:r w:rsidRPr="00EB47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747" w:rsidP="00EB4747">
            <w:pPr>
              <w:pStyle w:val="BodyText"/>
            </w:pPr>
            <w:r w:rsidRPr="00EB4747">
              <w:t>This version first released with CPC Construction, Plumbing and Services Training Package Release 5.0.</w:t>
            </w:r>
          </w:p>
          <w:p w:rsidR="00000000" w:rsidRPr="00EB4747" w:rsidP="00EB4747">
            <w:pPr>
              <w:pStyle w:val="BodyText"/>
            </w:pPr>
            <w:r w:rsidRPr="00EB4747">
              <w:t>New</w:t>
            </w:r>
            <w:r w:rsidRPr="00EB4747">
              <w:t xml:space="preserve"> unit.</w:t>
            </w:r>
          </w:p>
        </w:tc>
      </w:tr>
    </w:tbl>
    <w:p w:rsidR="00000000" w:rsidRPr="00EB4747" w:rsidP="00EB4747">
      <w:pPr>
        <w:pStyle w:val="BodyText"/>
      </w:pPr>
    </w:p>
    <w:p w:rsidR="00000000" w:rsidRPr="00EB4747" w:rsidP="00EB4747">
      <w:pPr>
        <w:pStyle w:val="AllowPageBreak"/>
      </w:pPr>
    </w:p>
    <w:p w:rsidR="00000000" w:rsidRPr="00EB4747" w:rsidP="00EB4747">
      <w:pPr>
        <w:pStyle w:val="Heading1"/>
      </w:pPr>
      <w:bookmarkStart w:id="2" w:name="O_1293223"/>
      <w:bookmarkEnd w:id="2"/>
      <w:r w:rsidRPr="00EB4747">
        <w:t>Performance Evidence</w:t>
      </w:r>
    </w:p>
    <w:p w:rsidR="00000000" w:rsidRPr="00EB4747" w:rsidP="00C57F0A">
      <w:pPr>
        <w:pStyle w:val="BodyText"/>
      </w:pPr>
      <w:r w:rsidRPr="00EB4747">
        <w:t>To demonstrate competency, a candidate must meet the elements and performance criteria of this unit by conducting concrete pump delivery operations at two different sites.</w:t>
      </w:r>
    </w:p>
    <w:p w:rsidR="00000000" w:rsidRPr="00EB4747" w:rsidP="00EB4747">
      <w:pPr>
        <w:pStyle w:val="Heading1"/>
      </w:pPr>
      <w:bookmarkStart w:id="3" w:name="O_1293222"/>
      <w:bookmarkEnd w:id="3"/>
      <w:r w:rsidRPr="00EB4747">
        <w:t>Knowledge Eviden</w:t>
      </w:r>
      <w:r w:rsidRPr="00EB4747">
        <w:t>ce</w:t>
      </w:r>
    </w:p>
    <w:p w:rsidR="00000000" w:rsidRPr="00EB4747" w:rsidP="00C57F0A">
      <w:pPr>
        <w:pStyle w:val="BodyText"/>
      </w:pPr>
      <w:r w:rsidRPr="00EB4747">
        <w:t>To be competent in this unit, a candidate must demonstrate knowledge of:</w:t>
      </w:r>
    </w:p>
    <w:p w:rsidR="00000000" w:rsidRPr="00EB4747" w:rsidP="00EB4747">
      <w:pPr>
        <w:pStyle w:val="ListBullet"/>
      </w:pPr>
      <w:r w:rsidRPr="00EB4747">
        <w:t>characteristics, technical capabilities and limitations of concrete pump delivery vehicle systems:</w:t>
      </w:r>
    </w:p>
    <w:p w:rsidR="00000000" w:rsidRPr="00EB4747" w:rsidP="00EB4747">
      <w:pPr>
        <w:pStyle w:val="ListBullet2"/>
      </w:pPr>
      <w:r w:rsidRPr="00EB4747">
        <w:t>adaptors</w:t>
      </w:r>
    </w:p>
    <w:p w:rsidR="00000000" w:rsidRPr="00EB4747" w:rsidP="00EB4747">
      <w:pPr>
        <w:pStyle w:val="ListBullet2"/>
      </w:pPr>
      <w:r w:rsidRPr="00EB4747">
        <w:t>construction activity sequences relating to bulk concreting operations</w:t>
      </w:r>
    </w:p>
    <w:p w:rsidR="00000000" w:rsidRPr="00EB4747" w:rsidP="00EB4747">
      <w:pPr>
        <w:pStyle w:val="ListBullet2"/>
      </w:pPr>
      <w:r w:rsidRPr="00EB4747">
        <w:t>line establishment techniques and operation of delivery system</w:t>
      </w:r>
    </w:p>
    <w:p w:rsidR="00000000" w:rsidRPr="00EB4747" w:rsidP="00EB4747">
      <w:pPr>
        <w:pStyle w:val="ListBullet2"/>
      </w:pPr>
      <w:r w:rsidRPr="00EB4747">
        <w:t>pumps and pumping system operations</w:t>
      </w:r>
    </w:p>
    <w:p w:rsidR="00000000" w:rsidRPr="00EB4747" w:rsidP="00EB4747">
      <w:pPr>
        <w:pStyle w:val="ListBullet2"/>
      </w:pPr>
      <w:r w:rsidRPr="00EB4747">
        <w:t>hoses</w:t>
      </w:r>
    </w:p>
    <w:p w:rsidR="00000000" w:rsidRPr="00EB4747" w:rsidP="00EB4747">
      <w:pPr>
        <w:pStyle w:val="ListBullet2"/>
      </w:pPr>
      <w:r w:rsidRPr="00EB4747">
        <w:t>lines</w:t>
      </w:r>
    </w:p>
    <w:p w:rsidR="00000000" w:rsidRPr="00EB4747" w:rsidP="00EB4747">
      <w:pPr>
        <w:pStyle w:val="ListBullet"/>
      </w:pPr>
      <w:r w:rsidRPr="00EB4747">
        <w:t>compliance requirements of legislation, regulations, codes and Australian Standards relevant to concrete pump delivery operations:</w:t>
      </w:r>
    </w:p>
    <w:p w:rsidR="00000000" w:rsidRPr="00EB4747" w:rsidP="00EB4747">
      <w:pPr>
        <w:pStyle w:val="ListBullet2"/>
      </w:pPr>
      <w:r w:rsidRPr="00EB4747">
        <w:t>environment</w:t>
      </w:r>
      <w:r w:rsidRPr="00EB4747">
        <w:t>al protection and waste disposal</w:t>
      </w:r>
    </w:p>
    <w:p w:rsidR="00000000" w:rsidRPr="00EB4747" w:rsidP="00EB4747">
      <w:pPr>
        <w:pStyle w:val="ListBullet2"/>
      </w:pPr>
      <w:r w:rsidRPr="00EB4747">
        <w:t>work health and safety (WHS)</w:t>
      </w:r>
    </w:p>
    <w:p w:rsidR="00000000" w:rsidRPr="00EB4747" w:rsidP="00EB4747">
      <w:pPr>
        <w:pStyle w:val="ListBullet"/>
      </w:pPr>
      <w:r w:rsidRPr="00EB4747">
        <w:t>concrete mixes:</w:t>
      </w:r>
    </w:p>
    <w:p w:rsidR="00000000" w:rsidRPr="00EB4747" w:rsidP="00EB4747">
      <w:pPr>
        <w:pStyle w:val="ListBullet2"/>
      </w:pPr>
      <w:r w:rsidRPr="00EB4747">
        <w:t>block-fill</w:t>
      </w:r>
    </w:p>
    <w:p w:rsidR="00000000" w:rsidRPr="00EB4747" w:rsidP="00EB4747">
      <w:pPr>
        <w:pStyle w:val="ListBullet2"/>
      </w:pPr>
      <w:r w:rsidRPr="00EB4747">
        <w:t>pool-mix</w:t>
      </w:r>
    </w:p>
    <w:p w:rsidR="00000000" w:rsidRPr="00EB4747" w:rsidP="00EB4747">
      <w:pPr>
        <w:pStyle w:val="ListBullet2"/>
      </w:pPr>
      <w:r w:rsidRPr="00EB4747">
        <w:t>topping</w:t>
      </w:r>
    </w:p>
    <w:p w:rsidR="00000000" w:rsidRPr="00EB4747" w:rsidP="00EB4747">
      <w:pPr>
        <w:pStyle w:val="ListBullet2"/>
      </w:pPr>
      <w:r w:rsidRPr="00EB4747">
        <w:t>slab</w:t>
      </w:r>
    </w:p>
    <w:p w:rsidR="00000000" w:rsidRPr="00EB4747" w:rsidP="00EB4747">
      <w:pPr>
        <w:pStyle w:val="ListBullet2"/>
      </w:pPr>
      <w:r w:rsidRPr="00EB4747">
        <w:t>footing</w:t>
      </w:r>
    </w:p>
    <w:p w:rsidR="00000000" w:rsidRPr="00EB4747" w:rsidP="00EB4747">
      <w:pPr>
        <w:pStyle w:val="ListBullet2"/>
      </w:pPr>
      <w:r w:rsidRPr="00EB4747">
        <w:t>curb and guttering</w:t>
      </w:r>
    </w:p>
    <w:p w:rsidR="00000000" w:rsidRPr="00EB4747" w:rsidP="00EB4747">
      <w:pPr>
        <w:pStyle w:val="ListBullet"/>
      </w:pPr>
      <w:r w:rsidRPr="00EB4747">
        <w:t>health risks associated with silica dust exposure</w:t>
      </w:r>
    </w:p>
    <w:p w:rsidR="00000000" w:rsidRPr="00EB4747" w:rsidP="00EB4747">
      <w:pPr>
        <w:pStyle w:val="ListBullet"/>
      </w:pPr>
      <w:r w:rsidRPr="00EB4747">
        <w:t>operational and maintenance requirements of concrete pump delivery systems:</w:t>
      </w:r>
    </w:p>
    <w:p w:rsidR="00000000" w:rsidRPr="00EB4747" w:rsidP="00EB4747">
      <w:pPr>
        <w:pStyle w:val="ListBullet"/>
      </w:pPr>
      <w:r w:rsidRPr="00EB4747">
        <w:t>basic diagnostic procedures</w:t>
      </w:r>
    </w:p>
    <w:p w:rsidR="00000000" w:rsidRPr="00EB4747" w:rsidP="00EB4747">
      <w:pPr>
        <w:pStyle w:val="ListBullet2"/>
      </w:pPr>
      <w:r w:rsidRPr="00EB4747">
        <w:t>how and when to activate emergency shut-down procedures</w:t>
      </w:r>
    </w:p>
    <w:p w:rsidR="00000000" w:rsidRPr="00EB4747" w:rsidP="00EB4747">
      <w:pPr>
        <w:pStyle w:val="ListBullet2"/>
      </w:pPr>
      <w:r w:rsidRPr="00EB4747">
        <w:t>key components and controls and their functions</w:t>
      </w:r>
    </w:p>
    <w:p w:rsidR="00000000" w:rsidRPr="00EB4747" w:rsidP="00EB4747">
      <w:pPr>
        <w:pStyle w:val="ListBullet2"/>
      </w:pPr>
      <w:r w:rsidRPr="00EB4747">
        <w:t>operator maintenance procedures</w:t>
      </w:r>
    </w:p>
    <w:p w:rsidR="00000000" w:rsidRPr="00EB4747" w:rsidP="00EB4747">
      <w:pPr>
        <w:pStyle w:val="ListBullet2"/>
      </w:pPr>
      <w:r w:rsidRPr="00EB4747">
        <w:t>pre-start, star</w:t>
      </w:r>
      <w:r w:rsidRPr="00EB4747">
        <w:t>t-up, park and shut-down</w:t>
      </w:r>
    </w:p>
    <w:p w:rsidR="00000000" w:rsidRPr="00EB4747" w:rsidP="00EB4747">
      <w:pPr>
        <w:pStyle w:val="ListBullet2"/>
      </w:pPr>
      <w:r w:rsidRPr="00EB4747">
        <w:t>techniques for positioning pumping system to best deliver concrete</w:t>
      </w:r>
    </w:p>
    <w:p w:rsidR="00000000" w:rsidRPr="00EB4747" w:rsidP="00EB4747">
      <w:pPr>
        <w:pStyle w:val="ListBullet"/>
      </w:pPr>
      <w:r w:rsidRPr="00EB4747">
        <w:t>plans and specifications used to interpret requirements for concrete pump delivery</w:t>
      </w:r>
    </w:p>
    <w:p w:rsidR="00000000" w:rsidRPr="00EB4747" w:rsidP="00EB4747">
      <w:pPr>
        <w:pStyle w:val="ListBullet"/>
      </w:pPr>
      <w:r w:rsidRPr="00EB4747">
        <w:t>workplace requirements for conducting concrete pump delivery operations:</w:t>
      </w:r>
    </w:p>
    <w:p w:rsidR="00000000" w:rsidRPr="00EB4747" w:rsidP="00EB4747">
      <w:pPr>
        <w:pStyle w:val="ListBullet2"/>
      </w:pPr>
      <w:r w:rsidRPr="00EB4747">
        <w:t>cleaning up the work area</w:t>
      </w:r>
    </w:p>
    <w:p w:rsidR="00000000" w:rsidRPr="00EB4747" w:rsidP="00EB4747">
      <w:pPr>
        <w:pStyle w:val="ListBullet2"/>
      </w:pPr>
      <w:r w:rsidRPr="00EB4747">
        <w:t>maintaining and storing materials, plant, tools and equipment</w:t>
      </w:r>
    </w:p>
    <w:p w:rsidR="00000000" w:rsidRPr="00EB4747" w:rsidP="00EB4747">
      <w:pPr>
        <w:pStyle w:val="ListBullet2"/>
      </w:pPr>
      <w:r w:rsidRPr="00EB4747">
        <w:t>quality</w:t>
      </w:r>
    </w:p>
    <w:p w:rsidR="00000000" w:rsidRPr="00EB4747" w:rsidP="00EB4747">
      <w:pPr>
        <w:pStyle w:val="ListBullet2"/>
      </w:pPr>
      <w:r w:rsidRPr="00EB4747">
        <w:t>reporting problems</w:t>
      </w:r>
    </w:p>
    <w:p w:rsidR="00000000" w:rsidRPr="00EB4747" w:rsidP="00EB4747">
      <w:pPr>
        <w:pStyle w:val="ListBullet2"/>
      </w:pPr>
      <w:r w:rsidRPr="00EB4747">
        <w:t>safety requirements, including personal protective equipment (PPE).</w:t>
      </w:r>
    </w:p>
    <w:p w:rsidR="00000000" w:rsidRPr="00EB4747" w:rsidP="00EB4747">
      <w:pPr>
        <w:pStyle w:val="AllowPageBreak"/>
      </w:pPr>
    </w:p>
    <w:p w:rsidR="00000000" w:rsidRPr="00EB4747" w:rsidP="00EB4747">
      <w:pPr>
        <w:pStyle w:val="Heading1"/>
      </w:pPr>
      <w:bookmarkStart w:id="4" w:name="O_1293221"/>
      <w:bookmarkEnd w:id="4"/>
      <w:r w:rsidRPr="00EB4747">
        <w:t>Assessment Conditions</w:t>
      </w:r>
    </w:p>
    <w:p w:rsidR="00000000" w:rsidRPr="00EB4747" w:rsidP="00C57F0A">
      <w:pPr>
        <w:pStyle w:val="BodyText"/>
      </w:pPr>
      <w:r w:rsidRPr="00EB4747">
        <w:t>Assessors must meet the requirem</w:t>
      </w:r>
      <w:r w:rsidRPr="00EB4747">
        <w:t xml:space="preserve">ents for assessors contained in the Standards for Registered Training Organisations. </w:t>
      </w:r>
    </w:p>
    <w:p w:rsidR="00000000" w:rsidRPr="00EB4747" w:rsidP="00C57F0A">
      <w:pPr>
        <w:pStyle w:val="BodyText"/>
      </w:pPr>
      <w:r w:rsidRPr="00EB4747">
        <w:t>Assessment must be conducted in the workplace or a simulated workplace using realistic conditions, materials, activities, responsibilities, procedures, safety requirement</w:t>
      </w:r>
      <w:r w:rsidRPr="00EB4747">
        <w:t>s and environmental considerations.</w:t>
      </w:r>
    </w:p>
    <w:p w:rsidR="00000000" w:rsidRPr="00EB4747" w:rsidP="00C57F0A">
      <w:pPr>
        <w:pStyle w:val="BodyText"/>
      </w:pPr>
      <w:r w:rsidRPr="00EB4747">
        <w:t>Candidates must have access to documentation, specifications, vehicle, concrete pump delivery system, materials, tools and equipment required to achieve the performance criteria and performance evidence.</w:t>
      </w:r>
    </w:p>
    <w:p w:rsidR="00000000" w:rsidRPr="00EB4747" w:rsidP="00EB4747">
      <w:pPr>
        <w:pStyle w:val="Heading1"/>
      </w:pPr>
      <w:bookmarkStart w:id="5" w:name="O_1293234"/>
      <w:bookmarkEnd w:id="5"/>
      <w:r w:rsidRPr="00EB4747">
        <w:t>Links</w:t>
      </w:r>
    </w:p>
    <w:p w:rsidR="00000000" w:rsidRPr="00EB4747" w:rsidP="00C57F0A">
      <w:pPr>
        <w:pStyle w:val="BodyText"/>
      </w:pPr>
      <w:r w:rsidRPr="00EB47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77DD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B4747" w:rsidP="00EB4747"/>
    <w:sectPr w:rsidSect="00EB47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47" w:rsidRPr="00C57F0A" w:rsidP="00C57F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0A" w:rsidP="00EB47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7F0A" w:rsidP="00EB47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57F0A" w:rsidP="00EB47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747" w:rsidRPr="00C57F0A" w:rsidP="00C57F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0A" w:rsidRPr="002D2AF8" w:rsidP="00EB47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CPCCON3056 Conduct concrete pump delivery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57F0A" w:rsidP="00EB47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98D7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A82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8EC1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7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7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7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7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7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7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7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7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7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7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7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747"/>
  </w:style>
  <w:style w:type="character" w:customStyle="1" w:styleId="Heading1Char">
    <w:name w:val="Heading 1 Char"/>
    <w:basedOn w:val="DefaultParagraphFont"/>
    <w:link w:val="Heading1"/>
    <w:rsid w:val="00EB47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7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7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7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47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47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7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7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7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7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7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7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7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7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7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7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7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7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7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7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7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7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7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4747"/>
    <w:rPr>
      <w:b/>
      <w:spacing w:val="0"/>
    </w:rPr>
  </w:style>
  <w:style w:type="paragraph" w:customStyle="1" w:styleId="SuperTitle">
    <w:name w:val="SuperTitle"/>
    <w:basedOn w:val="Title"/>
    <w:rsid w:val="00EB47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7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7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7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7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7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7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7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7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7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7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7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747"/>
    <w:rPr>
      <w:i/>
    </w:rPr>
  </w:style>
  <w:style w:type="paragraph" w:styleId="Caption">
    <w:name w:val="caption"/>
    <w:basedOn w:val="BodyText"/>
    <w:next w:val="Normal"/>
    <w:qFormat/>
    <w:rsid w:val="00EB47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7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7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747"/>
  </w:style>
  <w:style w:type="paragraph" w:styleId="TableofFigures">
    <w:name w:val="table of figures"/>
    <w:basedOn w:val="Normal"/>
    <w:next w:val="Normal"/>
    <w:semiHidden/>
    <w:rsid w:val="00EB47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7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4747"/>
    <w:rPr>
      <w:rFonts w:ascii="Wingdings" w:hAnsi="Wingdings"/>
    </w:rPr>
  </w:style>
  <w:style w:type="paragraph" w:customStyle="1" w:styleId="TableHeading">
    <w:name w:val="Table Heading"/>
    <w:basedOn w:val="HeadingBase"/>
    <w:rsid w:val="00EB47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747"/>
    <w:rPr>
      <w:color w:val="0033CC"/>
      <w:u w:val="none"/>
    </w:rPr>
  </w:style>
  <w:style w:type="paragraph" w:customStyle="1" w:styleId="BodyTextRight">
    <w:name w:val="Body Text Right"/>
    <w:basedOn w:val="BodyText"/>
    <w:rsid w:val="00EB47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7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7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7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7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7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747"/>
    <w:rPr>
      <w:sz w:val="32"/>
    </w:rPr>
  </w:style>
  <w:style w:type="paragraph" w:customStyle="1" w:styleId="HeadingProcedure">
    <w:name w:val="Heading Procedure"/>
    <w:basedOn w:val="HeadingBase"/>
    <w:next w:val="Normal"/>
    <w:rsid w:val="00EB47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747"/>
    <w:pPr>
      <w:spacing w:before="60" w:after="60"/>
    </w:pPr>
  </w:style>
  <w:style w:type="paragraph" w:styleId="ListContinue">
    <w:name w:val="List Continue"/>
    <w:basedOn w:val="List"/>
    <w:rsid w:val="00EB4747"/>
    <w:pPr>
      <w:ind w:firstLine="0"/>
    </w:pPr>
  </w:style>
  <w:style w:type="paragraph" w:customStyle="1" w:styleId="ListNote">
    <w:name w:val="List Note"/>
    <w:basedOn w:val="List"/>
    <w:rsid w:val="00EB47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7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7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747"/>
    <w:rPr>
      <w:rFonts w:ascii="Courier New" w:hAnsi="Courier New"/>
    </w:rPr>
  </w:style>
  <w:style w:type="paragraph" w:customStyle="1" w:styleId="NoteBullet">
    <w:name w:val="Note Bullet"/>
    <w:basedOn w:val="Note"/>
    <w:rsid w:val="00EB47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7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7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7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7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7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7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747"/>
    <w:rPr>
      <w:b/>
      <w:smallCaps/>
    </w:rPr>
  </w:style>
  <w:style w:type="paragraph" w:customStyle="1" w:styleId="TableListNumber">
    <w:name w:val="Table List Number"/>
    <w:basedOn w:val="ListNumber"/>
    <w:rsid w:val="00EB47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7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747"/>
    <w:pPr>
      <w:numPr>
        <w:numId w:val="9"/>
      </w:numPr>
    </w:pPr>
  </w:style>
  <w:style w:type="paragraph" w:customStyle="1" w:styleId="ListAlpha2">
    <w:name w:val="List Alpha 2"/>
    <w:basedOn w:val="List2"/>
    <w:rsid w:val="00EB4747"/>
    <w:pPr>
      <w:numPr>
        <w:numId w:val="8"/>
      </w:numPr>
    </w:pPr>
  </w:style>
  <w:style w:type="paragraph" w:styleId="List2">
    <w:name w:val="List 2"/>
    <w:basedOn w:val="BodyText"/>
    <w:rsid w:val="00EB47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7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7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7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7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7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4747"/>
    <w:pPr>
      <w:numPr>
        <w:numId w:val="4"/>
      </w:numPr>
    </w:pPr>
  </w:style>
  <w:style w:type="paragraph" w:styleId="ListContinue2">
    <w:name w:val="List Continue 2"/>
    <w:basedOn w:val="List2"/>
    <w:rsid w:val="00EB4747"/>
    <w:pPr>
      <w:ind w:firstLine="0"/>
    </w:pPr>
  </w:style>
  <w:style w:type="paragraph" w:styleId="ListContinue3">
    <w:name w:val="List Continue 3"/>
    <w:basedOn w:val="List3"/>
    <w:rsid w:val="00EB4747"/>
    <w:pPr>
      <w:ind w:left="1021" w:firstLine="0"/>
    </w:pPr>
  </w:style>
  <w:style w:type="paragraph" w:styleId="ListContinue4">
    <w:name w:val="List Continue 4"/>
    <w:basedOn w:val="List4"/>
    <w:rsid w:val="00EB4747"/>
    <w:pPr>
      <w:ind w:firstLine="0"/>
    </w:pPr>
  </w:style>
  <w:style w:type="paragraph" w:styleId="ListContinue5">
    <w:name w:val="List Continue 5"/>
    <w:basedOn w:val="List5"/>
    <w:rsid w:val="00EB4747"/>
    <w:pPr>
      <w:ind w:firstLine="0"/>
    </w:pPr>
  </w:style>
  <w:style w:type="paragraph" w:styleId="ListNumber3">
    <w:name w:val="List Number 3"/>
    <w:basedOn w:val="List3"/>
    <w:rsid w:val="00EB4747"/>
    <w:pPr>
      <w:numPr>
        <w:numId w:val="5"/>
      </w:numPr>
    </w:pPr>
  </w:style>
  <w:style w:type="paragraph" w:styleId="ListNumber4">
    <w:name w:val="List Number 4"/>
    <w:basedOn w:val="List4"/>
    <w:rsid w:val="00EB4747"/>
    <w:pPr>
      <w:numPr>
        <w:numId w:val="6"/>
      </w:numPr>
    </w:pPr>
  </w:style>
  <w:style w:type="paragraph" w:styleId="ListNumber5">
    <w:name w:val="List Number 5"/>
    <w:basedOn w:val="List5"/>
    <w:rsid w:val="00EB4747"/>
    <w:pPr>
      <w:numPr>
        <w:numId w:val="7"/>
      </w:numPr>
    </w:pPr>
  </w:style>
  <w:style w:type="paragraph" w:styleId="BlockText">
    <w:name w:val="Block Text"/>
    <w:basedOn w:val="Normal"/>
    <w:rsid w:val="00EB47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7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747"/>
    <w:rPr>
      <w:sz w:val="16"/>
      <w:vertAlign w:val="superscript"/>
    </w:rPr>
  </w:style>
  <w:style w:type="character" w:customStyle="1" w:styleId="Symbols">
    <w:name w:val="Symbols"/>
    <w:basedOn w:val="DefaultParagraphFont"/>
    <w:rsid w:val="00EB4747"/>
    <w:rPr>
      <w:rFonts w:ascii="Symbol" w:hAnsi="Symbol"/>
    </w:rPr>
  </w:style>
  <w:style w:type="character" w:customStyle="1" w:styleId="MenuOptions">
    <w:name w:val="Menu Options"/>
    <w:basedOn w:val="DefaultParagraphFont"/>
    <w:rsid w:val="00EB47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747"/>
    <w:rPr>
      <w:b/>
    </w:rPr>
  </w:style>
  <w:style w:type="character" w:customStyle="1" w:styleId="Underlined">
    <w:name w:val="Underlined"/>
    <w:basedOn w:val="DefaultParagraphFont"/>
    <w:rsid w:val="00EB4747"/>
    <w:rPr>
      <w:u w:val="single"/>
    </w:rPr>
  </w:style>
  <w:style w:type="paragraph" w:customStyle="1" w:styleId="TableBodyTextRight">
    <w:name w:val="Table Body Text Right"/>
    <w:basedOn w:val="TableBodyText"/>
    <w:rsid w:val="00EB47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747"/>
    <w:rPr>
      <w:sz w:val="18"/>
    </w:rPr>
  </w:style>
  <w:style w:type="paragraph" w:customStyle="1" w:styleId="BodySmallRight">
    <w:name w:val="Body Small Right"/>
    <w:basedOn w:val="BodyTextRight"/>
    <w:rsid w:val="00EB4747"/>
    <w:rPr>
      <w:sz w:val="18"/>
      <w:szCs w:val="18"/>
    </w:rPr>
  </w:style>
  <w:style w:type="paragraph" w:customStyle="1" w:styleId="MarginEdition">
    <w:name w:val="Margin Edition"/>
    <w:basedOn w:val="MarginNote"/>
    <w:rsid w:val="00EB47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747"/>
    <w:rPr>
      <w:sz w:val="2"/>
      <w:szCs w:val="2"/>
    </w:rPr>
  </w:style>
  <w:style w:type="character" w:customStyle="1" w:styleId="Small">
    <w:name w:val="Small"/>
    <w:basedOn w:val="DefaultParagraphFont"/>
    <w:rsid w:val="00EB4747"/>
    <w:rPr>
      <w:sz w:val="16"/>
    </w:rPr>
  </w:style>
  <w:style w:type="paragraph" w:customStyle="1" w:styleId="WideTable">
    <w:name w:val="Wide Table"/>
    <w:basedOn w:val="Normal"/>
    <w:rsid w:val="00EB47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747"/>
  </w:style>
  <w:style w:type="paragraph" w:styleId="Quote">
    <w:name w:val="Quote"/>
    <w:basedOn w:val="Heading1"/>
    <w:link w:val="QuoteChar"/>
    <w:qFormat/>
    <w:rsid w:val="00EB47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7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747"/>
    <w:pPr>
      <w:pageBreakBefore/>
    </w:pPr>
  </w:style>
  <w:style w:type="paragraph" w:customStyle="1" w:styleId="Border">
    <w:name w:val="Border"/>
    <w:basedOn w:val="Normal"/>
    <w:qFormat/>
    <w:rsid w:val="00EB47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7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7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7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7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7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7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7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7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747"/>
    <w:rPr>
      <w:u w:val="single"/>
    </w:rPr>
  </w:style>
  <w:style w:type="character" w:customStyle="1" w:styleId="BoldandItalics">
    <w:name w:val="Bold and Italics"/>
    <w:qFormat/>
    <w:rsid w:val="00EB4747"/>
    <w:rPr>
      <w:b/>
      <w:i/>
      <w:u w:val="none"/>
    </w:rPr>
  </w:style>
  <w:style w:type="paragraph" w:styleId="BalloonText">
    <w:name w:val="Balloon Text"/>
    <w:basedOn w:val="Normal"/>
    <w:link w:val="BalloonTextChar"/>
    <w:rsid w:val="00EB4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7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7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7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7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7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747"/>
    <w:pPr>
      <w:spacing w:before="0" w:after="0"/>
    </w:pPr>
  </w:style>
  <w:style w:type="paragraph" w:customStyle="1" w:styleId="BodyTextBold">
    <w:name w:val="Body Text Bold"/>
    <w:basedOn w:val="BodyText"/>
    <w:qFormat/>
    <w:rsid w:val="00EB4747"/>
    <w:rPr>
      <w:b/>
    </w:rPr>
  </w:style>
  <w:style w:type="character" w:styleId="Hyperlink">
    <w:name w:val="Hyperlink"/>
    <w:basedOn w:val="DefaultParagraphFont"/>
    <w:uiPriority w:val="99"/>
    <w:unhideWhenUsed/>
    <w:rsid w:val="00C57F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2664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CPCCON3056 Conduct concrete pump delivery operations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