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CE6" w:rsidP="00F62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CPCCON3054 Operate concrete agitator trucks</w:t>
      </w:r>
      <w:r>
        <w:fldChar w:fldCharType="end"/>
      </w:r>
    </w:p>
    <w:p w:rsidR="00F62CE6" w:rsidP="00F62CE6">
      <w:pPr>
        <w:pStyle w:val="Version"/>
        <w:sectPr w:rsidSect="003F1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1530" w:rsidP="003F1530">
      <w:pPr>
        <w:pStyle w:val="SuperHeading"/>
      </w:pPr>
      <w:r w:rsidRPr="003F1530">
        <w:t>CPCCON3054 Operate concrete agitator trucks</w:t>
      </w:r>
    </w:p>
    <w:p w:rsidR="00000000" w:rsidRPr="003F1530" w:rsidP="003F1530">
      <w:pPr>
        <w:pStyle w:val="Heading1"/>
      </w:pPr>
      <w:bookmarkStart w:id="1" w:name="O_1293280"/>
      <w:bookmarkEnd w:id="1"/>
      <w:r w:rsidRPr="003F15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Updated reference to general construction induction training program.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530" w:rsidP="003F1530">
            <w:pPr>
              <w:pStyle w:val="BodyText"/>
            </w:pPr>
            <w:r w:rsidRPr="003F1530">
              <w:t>This version first released with CPC Construction, Plumbing and Services Training Package Release 5.0.</w:t>
            </w:r>
          </w:p>
          <w:p w:rsidR="00000000" w:rsidRPr="003F1530" w:rsidP="003F1530">
            <w:pPr>
              <w:pStyle w:val="BodyText"/>
            </w:pPr>
            <w:r w:rsidRPr="003F1530">
              <w:t xml:space="preserve">Supersedes and is equivalent to </w:t>
            </w:r>
            <w:r w:rsidRPr="003F1530">
              <w:t>CPCCCO3054 Operate concrete agitator trucks.</w:t>
            </w:r>
          </w:p>
        </w:tc>
      </w:tr>
    </w:tbl>
    <w:p w:rsidR="00000000" w:rsidRPr="003F1530" w:rsidP="003F1530">
      <w:pPr>
        <w:pStyle w:val="BodyText"/>
      </w:pPr>
    </w:p>
    <w:p w:rsidR="00000000" w:rsidRPr="003F1530" w:rsidP="003F1530">
      <w:pPr>
        <w:pStyle w:val="AllowPageBreak"/>
      </w:pPr>
    </w:p>
    <w:p w:rsidR="00000000" w:rsidRPr="003F1530" w:rsidP="003F1530">
      <w:pPr>
        <w:pStyle w:val="Heading1"/>
      </w:pPr>
      <w:bookmarkStart w:id="2" w:name="O_1293279"/>
      <w:bookmarkEnd w:id="2"/>
      <w:r w:rsidRPr="003F1530">
        <w:t>Application</w:t>
      </w:r>
    </w:p>
    <w:p w:rsidR="00000000" w:rsidRPr="003F1530" w:rsidP="00F62CE6">
      <w:pPr>
        <w:pStyle w:val="BodyText"/>
      </w:pPr>
      <w:r w:rsidRPr="003F1530">
        <w:t>This unit of competency specifies the skills and knowledge required to operate concrete agitator trucks. It includes safely operating, positioning and manoeuvring the truck to lo</w:t>
      </w:r>
      <w:r w:rsidRPr="003F1530">
        <w:t>ad, transport and discharge concrete mix at the work site. It requires conducting pre-operational checks and driver maintenance.</w:t>
      </w:r>
    </w:p>
    <w:p w:rsidR="00000000" w:rsidRPr="003F1530" w:rsidP="00F62CE6">
      <w:pPr>
        <w:pStyle w:val="BodyText"/>
      </w:pPr>
      <w:r w:rsidRPr="003F1530">
        <w:t xml:space="preserve">A person who has achieved this unit of competency would be expected to take responsibility for organising and completing these </w:t>
      </w:r>
      <w:r w:rsidRPr="003F1530">
        <w:t>tasks with a high degree of self-direction.</w:t>
      </w:r>
    </w:p>
    <w:p w:rsidR="00000000" w:rsidRPr="003F1530" w:rsidP="00F62CE6">
      <w:pPr>
        <w:pStyle w:val="BodyText"/>
      </w:pPr>
      <w:r w:rsidRPr="003F1530">
        <w:t>Licensing, legislative, regulatory or certification requirements apply to this unit of competency. Candidates must hold a current, nationally recognised licence required to operate the concrete agitator truck. Fo</w:t>
      </w:r>
      <w:r w:rsidRPr="003F1530">
        <w:t>r further information, check with the relevant regulatory authority.</w:t>
      </w:r>
    </w:p>
    <w:p w:rsidR="00000000" w:rsidRPr="003F1530" w:rsidP="00F62CE6">
      <w:pPr>
        <w:pStyle w:val="BodyText"/>
      </w:pPr>
      <w:r w:rsidRPr="003F1530">
        <w:t>Completion of the general construction induction training program, specified in the Safe Work Australia model </w:t>
      </w:r>
      <w:r w:rsidRPr="003F1530">
        <w:rPr>
          <w:rStyle w:val="Emphasis"/>
        </w:rPr>
        <w:t>Code of Practice: Construction Work</w:t>
      </w:r>
      <w:r w:rsidRPr="003F1530">
        <w:t>, is required by anyone carrying out const</w:t>
      </w:r>
      <w:r w:rsidRPr="003F1530">
        <w:t xml:space="preserve">ruction work. Achievement of </w:t>
      </w:r>
      <w:r w:rsidRPr="003F1530">
        <w:rPr>
          <w:rStyle w:val="Emphasis"/>
        </w:rPr>
        <w:t>CPCWHS1001</w:t>
      </w:r>
      <w:r w:rsidRPr="003F1530">
        <w:t> </w:t>
      </w:r>
      <w:r w:rsidRPr="003F1530">
        <w:rPr>
          <w:rStyle w:val="Emphasis"/>
        </w:rPr>
        <w:t>Prepare to work safely in the construction industry</w:t>
      </w:r>
      <w:r w:rsidRPr="003F1530">
        <w:t> meets this requirement.</w:t>
      </w:r>
    </w:p>
    <w:p w:rsidR="00000000" w:rsidRPr="003F1530" w:rsidP="003F1530">
      <w:pPr>
        <w:pStyle w:val="Heading1"/>
      </w:pPr>
      <w:bookmarkStart w:id="3" w:name="O_1293278"/>
      <w:bookmarkEnd w:id="3"/>
      <w:r w:rsidRPr="003F1530">
        <w:t>Pre-requisite Unit</w:t>
      </w:r>
    </w:p>
    <w:p w:rsidR="00000000" w:rsidRPr="003F1530" w:rsidP="00F62CE6">
      <w:pPr>
        <w:pStyle w:val="BodyText"/>
      </w:pPr>
      <w:r w:rsidRPr="003F1530">
        <w:t>CPCCWHS2001 Apply WHS requirements, policies and procedures in the construction industry</w:t>
      </w:r>
    </w:p>
    <w:p w:rsidR="00000000" w:rsidRPr="003F1530" w:rsidP="003F1530">
      <w:pPr>
        <w:pStyle w:val="Heading1"/>
      </w:pPr>
      <w:bookmarkStart w:id="4" w:name="O_1293277"/>
      <w:bookmarkEnd w:id="4"/>
      <w:r w:rsidRPr="003F1530">
        <w:t>Unit Sector</w:t>
      </w:r>
    </w:p>
    <w:p w:rsidR="00000000" w:rsidRPr="003F1530" w:rsidP="00F62CE6">
      <w:pPr>
        <w:pStyle w:val="BodyText"/>
      </w:pPr>
      <w:r w:rsidRPr="003F1530">
        <w:t>Concreting</w:t>
      </w:r>
    </w:p>
    <w:p w:rsidR="00000000" w:rsidRPr="003F1530" w:rsidP="003F1530">
      <w:pPr>
        <w:pStyle w:val="Heading1"/>
      </w:pPr>
      <w:bookmarkStart w:id="5" w:name="O_1293276"/>
      <w:bookmarkEnd w:id="5"/>
      <w:r w:rsidRPr="003F15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 xml:space="preserve">Elements describe the </w:t>
            </w:r>
            <w:r w:rsidRPr="003F153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 xml:space="preserve">Performance criteria describe what needs to be done to </w:t>
            </w:r>
            <w:r w:rsidRPr="003F1530">
              <w:t>demonstrate achievement of the element.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Plan and prepare to operate c</w:t>
            </w:r>
            <w:r w:rsidRPr="003F1530">
              <w:t>oncrete agitator truck.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Interpret work instructions for concrete agitator truck operation and clarify requirements with relevant persons.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Plan work tasks to comply with relevant legislation, regulations, work health and safety (WHS), en</w:t>
            </w:r>
            <w:r w:rsidRPr="003F1530">
              <w:t>vironmental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Identify hazards associated with planned concrete agitator truck operation and apply risk controls in accordance with regulatory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Select hand tools and maintenance equipment a</w:t>
            </w:r>
            <w:r w:rsidRPr="003F1530">
              <w:t>ssociated with truck, check for serviceability and rectify or report any faults.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Select and fit required personal protective equipment (PPE).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Conduct concrete agitator truck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Carry out truck pre-start, start-up, park and shut-down procedures including emergency shut-down in accordance with manufacturer and site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Check truck controls and functions for serviceability and rectify or report faults.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Check agitator controls and functions for serviceability and rectify or report faults.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Operate concrete agitator truck.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Manage engine power to ensure efficient truck movements and to minimise damage to engine and gears.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Coordinate engine power with gear selection ensuring smooth transition and operation within torque range.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Drive truck safely in accordance with regulatory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Monitor road and traffic conditions and adjust truck operation as required to ensure safety.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Bring truck to a halt smoothly using engine retarder, gears and brakes to minimise truck wear and tear.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Load, transport and discharge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Position truck at load and discharge points with minimum manoeuvres.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Load truck with concrete mix specified for the job, and with volume or weight of load within authorised carrying capacity of agitator.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Move truck from loading to discharge point safely and smoothly avoiding surge and sway.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Discharge concrete in accordance with work instructions.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Monitor and maintain discharge systems including chutes and adaptors throughout operations.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Carry out operator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Park truck safely, prepare for maintenance, and shut down in accordance with manufacturer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Carry out basic diagnostic procedures on truck and agitator components and record results in accordance with manufacturer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Remove and replace defective parts safely and effectively in accordance with manufacturer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Carry out regular scheduled maintenance tasks in accordance with manufacturer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Clear work area and dispose of, reuse or recycle materials in accordance with regulatory and workplace requirements.</w:t>
            </w:r>
          </w:p>
        </w:tc>
      </w:tr>
      <w:tr w:rsidTr="003F1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530">
            <w:pPr>
              <w:pStyle w:val="BodyText"/>
              <w:rPr>
                <w:lang w:val="en-NZ"/>
              </w:rPr>
            </w:pPr>
            <w:r w:rsidRPr="003F153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530" w:rsidP="003F1530">
            <w:pPr>
              <w:pStyle w:val="BodyText"/>
            </w:pPr>
            <w:r w:rsidRPr="003F1530">
              <w:t>Clean, check, maintain and store truck, bowl, tools and equipment in accordance with manufacturer and workplace requirements.</w:t>
            </w:r>
          </w:p>
        </w:tc>
      </w:tr>
    </w:tbl>
    <w:p w:rsidR="00000000" w:rsidRPr="003F1530" w:rsidP="003F1530">
      <w:pPr>
        <w:pStyle w:val="BodyText"/>
      </w:pPr>
    </w:p>
    <w:p w:rsidR="00000000" w:rsidRPr="003F1530" w:rsidP="003F1530">
      <w:pPr>
        <w:pStyle w:val="AllowPageBreak"/>
      </w:pPr>
    </w:p>
    <w:p w:rsidR="00000000" w:rsidRPr="003F1530" w:rsidP="003F1530">
      <w:pPr>
        <w:pStyle w:val="Heading1"/>
      </w:pPr>
      <w:bookmarkStart w:id="6" w:name="O_1293275"/>
      <w:bookmarkEnd w:id="6"/>
      <w:r w:rsidRPr="003F1530">
        <w:t>Foundation Skills</w:t>
      </w:r>
    </w:p>
    <w:p w:rsidR="00000000" w:rsidRPr="003F1530" w:rsidP="00F62CE6">
      <w:pPr>
        <w:pStyle w:val="BodyText"/>
      </w:pPr>
      <w:r w:rsidRPr="003F1530">
        <w:t xml:space="preserve">Foundation skills essential to performance are explicit in the performance criteria of this unit of competency. </w:t>
      </w:r>
    </w:p>
    <w:p w:rsidR="00000000" w:rsidRPr="003F1530" w:rsidP="003F1530">
      <w:pPr>
        <w:pStyle w:val="Heading1"/>
      </w:pPr>
      <w:bookmarkStart w:id="7" w:name="O_1293274"/>
      <w:bookmarkEnd w:id="7"/>
      <w:r w:rsidRPr="003F1530">
        <w:t>Unit Mapping Information</w:t>
      </w:r>
    </w:p>
    <w:p w:rsidR="00000000" w:rsidRPr="003F1530" w:rsidP="00F62CE6">
      <w:pPr>
        <w:pStyle w:val="BodyText"/>
      </w:pPr>
      <w:r w:rsidRPr="003F1530">
        <w:t>Supersedes and is equivalent to CPCCCO3054 Operate concrete agitator trucks.</w:t>
      </w:r>
    </w:p>
    <w:p w:rsidR="00000000" w:rsidRPr="003F1530" w:rsidP="003F1530">
      <w:pPr>
        <w:pStyle w:val="Heading1"/>
      </w:pPr>
      <w:bookmarkStart w:id="8" w:name="O_1293281"/>
      <w:bookmarkEnd w:id="8"/>
      <w:r w:rsidRPr="003F1530">
        <w:t>Links</w:t>
      </w:r>
    </w:p>
    <w:p w:rsidR="00000000" w:rsidRPr="003F1530" w:rsidP="00F62CE6">
      <w:pPr>
        <w:pStyle w:val="BodyText"/>
      </w:pPr>
      <w:r w:rsidRPr="003F15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7F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1530" w:rsidP="003F1530"/>
    <w:sectPr w:rsidSect="003F15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30" w:rsidRPr="00F62CE6" w:rsidP="00F62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E6" w:rsidP="003F1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CE6" w:rsidP="003F1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2CE6" w:rsidP="003F1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530" w:rsidRPr="00F62CE6" w:rsidP="00F62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E6" w:rsidRPr="002D2AF8" w:rsidP="003F1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CPCCON3054 Operate concrete agitator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2CE6" w:rsidP="003F1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530"/>
  </w:style>
  <w:style w:type="character" w:customStyle="1" w:styleId="Heading1Char">
    <w:name w:val="Heading 1 Char"/>
    <w:basedOn w:val="DefaultParagraphFont"/>
    <w:link w:val="Heading1"/>
    <w:rsid w:val="003F1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53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F1530"/>
    <w:rPr>
      <w:i/>
    </w:rPr>
  </w:style>
  <w:style w:type="paragraph" w:customStyle="1" w:styleId="SuperHeading">
    <w:name w:val="SuperHeading"/>
    <w:basedOn w:val="Normal"/>
    <w:rsid w:val="003F1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5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15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1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530"/>
    <w:rPr>
      <w:b/>
      <w:spacing w:val="0"/>
    </w:rPr>
  </w:style>
  <w:style w:type="paragraph" w:customStyle="1" w:styleId="SuperTitle">
    <w:name w:val="SuperTitle"/>
    <w:basedOn w:val="Title"/>
    <w:rsid w:val="003F1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5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5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530"/>
  </w:style>
  <w:style w:type="paragraph" w:styleId="TableofFigures">
    <w:name w:val="table of figures"/>
    <w:basedOn w:val="Normal"/>
    <w:next w:val="Normal"/>
    <w:semiHidden/>
    <w:rsid w:val="003F1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5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1530"/>
    <w:rPr>
      <w:rFonts w:ascii="Wingdings" w:hAnsi="Wingdings"/>
    </w:rPr>
  </w:style>
  <w:style w:type="paragraph" w:customStyle="1" w:styleId="TableHeading">
    <w:name w:val="Table Heading"/>
    <w:basedOn w:val="HeadingBase"/>
    <w:rsid w:val="003F15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530"/>
    <w:rPr>
      <w:color w:val="0033CC"/>
      <w:u w:val="none"/>
    </w:rPr>
  </w:style>
  <w:style w:type="paragraph" w:customStyle="1" w:styleId="BodyTextRight">
    <w:name w:val="Body Text Right"/>
    <w:basedOn w:val="BodyText"/>
    <w:rsid w:val="003F1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5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530"/>
    <w:rPr>
      <w:sz w:val="32"/>
    </w:rPr>
  </w:style>
  <w:style w:type="paragraph" w:customStyle="1" w:styleId="HeadingProcedure">
    <w:name w:val="Heading Procedure"/>
    <w:basedOn w:val="HeadingBase"/>
    <w:next w:val="Normal"/>
    <w:rsid w:val="003F1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530"/>
    <w:pPr>
      <w:spacing w:before="60" w:after="60"/>
    </w:pPr>
  </w:style>
  <w:style w:type="paragraph" w:styleId="ListContinue">
    <w:name w:val="List Continue"/>
    <w:basedOn w:val="List"/>
    <w:rsid w:val="003F1530"/>
    <w:pPr>
      <w:ind w:firstLine="0"/>
    </w:pPr>
  </w:style>
  <w:style w:type="paragraph" w:customStyle="1" w:styleId="ListNote">
    <w:name w:val="List Note"/>
    <w:basedOn w:val="List"/>
    <w:rsid w:val="003F1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530"/>
    <w:rPr>
      <w:rFonts w:ascii="Courier New" w:hAnsi="Courier New"/>
    </w:rPr>
  </w:style>
  <w:style w:type="paragraph" w:customStyle="1" w:styleId="NoteBullet">
    <w:name w:val="Note Bullet"/>
    <w:basedOn w:val="Note"/>
    <w:rsid w:val="003F1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5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1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530"/>
    <w:rPr>
      <w:b/>
      <w:smallCaps/>
    </w:rPr>
  </w:style>
  <w:style w:type="paragraph" w:customStyle="1" w:styleId="TableListNumber">
    <w:name w:val="Table List Number"/>
    <w:basedOn w:val="ListNumber"/>
    <w:rsid w:val="003F1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530"/>
    <w:pPr>
      <w:numPr>
        <w:numId w:val="7"/>
      </w:numPr>
    </w:pPr>
  </w:style>
  <w:style w:type="paragraph" w:customStyle="1" w:styleId="ListAlpha2">
    <w:name w:val="List Alpha 2"/>
    <w:basedOn w:val="List2"/>
    <w:rsid w:val="003F1530"/>
    <w:pPr>
      <w:numPr>
        <w:numId w:val="6"/>
      </w:numPr>
    </w:pPr>
  </w:style>
  <w:style w:type="paragraph" w:styleId="List2">
    <w:name w:val="List 2"/>
    <w:basedOn w:val="BodyText"/>
    <w:rsid w:val="003F1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5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5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5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1530"/>
    <w:pPr>
      <w:numPr>
        <w:numId w:val="2"/>
      </w:numPr>
    </w:pPr>
  </w:style>
  <w:style w:type="paragraph" w:styleId="ListContinue2">
    <w:name w:val="List Continue 2"/>
    <w:basedOn w:val="List2"/>
    <w:rsid w:val="003F1530"/>
    <w:pPr>
      <w:ind w:firstLine="0"/>
    </w:pPr>
  </w:style>
  <w:style w:type="paragraph" w:styleId="ListContinue3">
    <w:name w:val="List Continue 3"/>
    <w:basedOn w:val="List3"/>
    <w:rsid w:val="003F1530"/>
    <w:pPr>
      <w:ind w:left="1021" w:firstLine="0"/>
    </w:pPr>
  </w:style>
  <w:style w:type="paragraph" w:styleId="ListContinue4">
    <w:name w:val="List Continue 4"/>
    <w:basedOn w:val="List4"/>
    <w:rsid w:val="003F1530"/>
    <w:pPr>
      <w:ind w:firstLine="0"/>
    </w:pPr>
  </w:style>
  <w:style w:type="paragraph" w:styleId="ListContinue5">
    <w:name w:val="List Continue 5"/>
    <w:basedOn w:val="List5"/>
    <w:rsid w:val="003F1530"/>
    <w:pPr>
      <w:ind w:firstLine="0"/>
    </w:pPr>
  </w:style>
  <w:style w:type="paragraph" w:styleId="ListNumber3">
    <w:name w:val="List Number 3"/>
    <w:basedOn w:val="List3"/>
    <w:rsid w:val="003F1530"/>
    <w:pPr>
      <w:numPr>
        <w:numId w:val="3"/>
      </w:numPr>
    </w:pPr>
  </w:style>
  <w:style w:type="paragraph" w:styleId="ListNumber4">
    <w:name w:val="List Number 4"/>
    <w:basedOn w:val="List4"/>
    <w:rsid w:val="003F1530"/>
    <w:pPr>
      <w:numPr>
        <w:numId w:val="4"/>
      </w:numPr>
    </w:pPr>
  </w:style>
  <w:style w:type="paragraph" w:styleId="ListNumber5">
    <w:name w:val="List Number 5"/>
    <w:basedOn w:val="List5"/>
    <w:rsid w:val="003F1530"/>
    <w:pPr>
      <w:numPr>
        <w:numId w:val="5"/>
      </w:numPr>
    </w:pPr>
  </w:style>
  <w:style w:type="paragraph" w:styleId="BlockText">
    <w:name w:val="Block Text"/>
    <w:basedOn w:val="Normal"/>
    <w:rsid w:val="003F1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530"/>
    <w:rPr>
      <w:sz w:val="16"/>
      <w:vertAlign w:val="superscript"/>
    </w:rPr>
  </w:style>
  <w:style w:type="character" w:customStyle="1" w:styleId="Symbols">
    <w:name w:val="Symbols"/>
    <w:basedOn w:val="DefaultParagraphFont"/>
    <w:rsid w:val="003F1530"/>
    <w:rPr>
      <w:rFonts w:ascii="Symbol" w:hAnsi="Symbol"/>
    </w:rPr>
  </w:style>
  <w:style w:type="character" w:customStyle="1" w:styleId="MenuOptions">
    <w:name w:val="Menu Options"/>
    <w:basedOn w:val="DefaultParagraphFont"/>
    <w:rsid w:val="003F1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530"/>
    <w:rPr>
      <w:b/>
    </w:rPr>
  </w:style>
  <w:style w:type="character" w:customStyle="1" w:styleId="Underlined">
    <w:name w:val="Underlined"/>
    <w:basedOn w:val="DefaultParagraphFont"/>
    <w:rsid w:val="003F1530"/>
    <w:rPr>
      <w:u w:val="single"/>
    </w:rPr>
  </w:style>
  <w:style w:type="paragraph" w:customStyle="1" w:styleId="TableBodyTextRight">
    <w:name w:val="Table Body Text Right"/>
    <w:basedOn w:val="TableBodyText"/>
    <w:rsid w:val="003F1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530"/>
    <w:rPr>
      <w:sz w:val="18"/>
    </w:rPr>
  </w:style>
  <w:style w:type="paragraph" w:customStyle="1" w:styleId="BodySmallRight">
    <w:name w:val="Body Small Right"/>
    <w:basedOn w:val="BodyTextRight"/>
    <w:rsid w:val="003F1530"/>
    <w:rPr>
      <w:sz w:val="18"/>
      <w:szCs w:val="18"/>
    </w:rPr>
  </w:style>
  <w:style w:type="paragraph" w:customStyle="1" w:styleId="MarginEdition">
    <w:name w:val="Margin Edition"/>
    <w:basedOn w:val="MarginNote"/>
    <w:rsid w:val="003F1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530"/>
    <w:rPr>
      <w:sz w:val="2"/>
      <w:szCs w:val="2"/>
    </w:rPr>
  </w:style>
  <w:style w:type="character" w:customStyle="1" w:styleId="Small">
    <w:name w:val="Small"/>
    <w:basedOn w:val="DefaultParagraphFont"/>
    <w:rsid w:val="003F1530"/>
    <w:rPr>
      <w:sz w:val="16"/>
    </w:rPr>
  </w:style>
  <w:style w:type="paragraph" w:customStyle="1" w:styleId="WideTable">
    <w:name w:val="Wide Table"/>
    <w:basedOn w:val="Normal"/>
    <w:rsid w:val="003F1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530"/>
  </w:style>
  <w:style w:type="paragraph" w:styleId="Quote">
    <w:name w:val="Quote"/>
    <w:basedOn w:val="Heading1"/>
    <w:link w:val="QuoteChar"/>
    <w:qFormat/>
    <w:rsid w:val="003F1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530"/>
    <w:pPr>
      <w:pageBreakBefore/>
    </w:pPr>
  </w:style>
  <w:style w:type="paragraph" w:customStyle="1" w:styleId="Border">
    <w:name w:val="Border"/>
    <w:basedOn w:val="Normal"/>
    <w:qFormat/>
    <w:rsid w:val="003F1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530"/>
    <w:rPr>
      <w:u w:val="single"/>
    </w:rPr>
  </w:style>
  <w:style w:type="character" w:customStyle="1" w:styleId="BoldandItalics">
    <w:name w:val="Bold and Italics"/>
    <w:qFormat/>
    <w:rsid w:val="003F1530"/>
    <w:rPr>
      <w:b/>
      <w:i/>
      <w:u w:val="none"/>
    </w:rPr>
  </w:style>
  <w:style w:type="paragraph" w:styleId="BalloonText">
    <w:name w:val="Balloon Text"/>
    <w:basedOn w:val="Normal"/>
    <w:link w:val="BalloonTextChar"/>
    <w:rsid w:val="003F1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530"/>
    <w:pPr>
      <w:spacing w:before="0" w:after="0"/>
    </w:pPr>
  </w:style>
  <w:style w:type="paragraph" w:customStyle="1" w:styleId="BodyTextBold">
    <w:name w:val="Body Text Bold"/>
    <w:basedOn w:val="BodyText"/>
    <w:qFormat/>
    <w:rsid w:val="003F1530"/>
    <w:rPr>
      <w:b/>
    </w:rPr>
  </w:style>
  <w:style w:type="character" w:styleId="Hyperlink">
    <w:name w:val="Hyperlink"/>
    <w:basedOn w:val="DefaultParagraphFont"/>
    <w:uiPriority w:val="99"/>
    <w:unhideWhenUsed/>
    <w:rsid w:val="00F62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4594</Characters>
  <Application>Microsoft Office Word</Application>
  <DocSecurity>0</DocSecurity>
  <Lines>208</Lines>
  <Paragraphs>104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CPCCON3054 Operate concrete agitator trucks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