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F01" w:rsidP="007F1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CPCCON3054 Operate concrete agitator trucks</w:t>
      </w:r>
      <w:r>
        <w:fldChar w:fldCharType="end"/>
      </w:r>
    </w:p>
    <w:p w:rsidR="007F1F01" w:rsidP="007F1F01">
      <w:pPr>
        <w:pStyle w:val="Version"/>
        <w:sectPr w:rsidSect="005F2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2C83" w:rsidP="005F2C83">
      <w:pPr>
        <w:pStyle w:val="SuperHeading"/>
      </w:pPr>
      <w:r w:rsidRPr="005F2C83">
        <w:t>CPCCON3054 Operate concrete agitator trucks</w:t>
      </w:r>
    </w:p>
    <w:p w:rsidR="00000000" w:rsidRPr="005F2C83" w:rsidP="005F2C83">
      <w:pPr>
        <w:pStyle w:val="Heading1"/>
      </w:pPr>
      <w:bookmarkStart w:id="1" w:name="O_1293280"/>
      <w:bookmarkEnd w:id="1"/>
      <w:r w:rsidRPr="005F2C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Updated reference to general construction induction training program.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C83" w:rsidP="005F2C83">
            <w:pPr>
              <w:pStyle w:val="BodyText"/>
            </w:pPr>
            <w:r w:rsidRPr="005F2C83">
              <w:t>This version first released with CPC Construction, Plumbing and Services Training Package Release 5.0.</w:t>
            </w:r>
          </w:p>
          <w:p w:rsidR="00000000" w:rsidRPr="005F2C83" w:rsidP="005F2C83">
            <w:pPr>
              <w:pStyle w:val="BodyText"/>
            </w:pPr>
            <w:r w:rsidRPr="005F2C83">
              <w:t xml:space="preserve">Supersedes and is equivalent to </w:t>
            </w:r>
            <w:r w:rsidRPr="005F2C83">
              <w:t>CPCCCO3054 Operate concrete agitator trucks.</w:t>
            </w:r>
          </w:p>
        </w:tc>
      </w:tr>
    </w:tbl>
    <w:p w:rsidR="00000000" w:rsidRPr="005F2C83" w:rsidP="005F2C83">
      <w:pPr>
        <w:pStyle w:val="BodyText"/>
      </w:pPr>
    </w:p>
    <w:p w:rsidR="00000000" w:rsidRPr="005F2C83" w:rsidP="005F2C83">
      <w:pPr>
        <w:pStyle w:val="AllowPageBreak"/>
      </w:pPr>
    </w:p>
    <w:p w:rsidR="00000000" w:rsidRPr="005F2C83" w:rsidP="005F2C83">
      <w:pPr>
        <w:pStyle w:val="Heading1"/>
      </w:pPr>
      <w:bookmarkStart w:id="2" w:name="O_1293279"/>
      <w:bookmarkEnd w:id="2"/>
      <w:r w:rsidRPr="005F2C83">
        <w:t>Application</w:t>
      </w:r>
    </w:p>
    <w:p w:rsidR="00000000" w:rsidRPr="005F2C83" w:rsidP="007F1F01">
      <w:pPr>
        <w:pStyle w:val="BodyText"/>
      </w:pPr>
      <w:r w:rsidRPr="005F2C83">
        <w:t>This unit of competency specifies the skills and knowledge required to operate concrete agitator trucks. It includes safely operating, positioning and manoeuvring the truck to lo</w:t>
      </w:r>
      <w:r w:rsidRPr="005F2C83">
        <w:t>ad, transport and discharge concrete mix at the work site. It requires conducting pre-operational checks and driver maintenance.</w:t>
      </w:r>
    </w:p>
    <w:p w:rsidR="00000000" w:rsidRPr="005F2C83" w:rsidP="007F1F01">
      <w:pPr>
        <w:pStyle w:val="BodyText"/>
      </w:pPr>
      <w:r w:rsidRPr="005F2C83">
        <w:t xml:space="preserve">A person who has achieved this unit of competency would be expected to take responsibility for organising and completing these </w:t>
      </w:r>
      <w:r w:rsidRPr="005F2C83">
        <w:t>tasks with a high degree of self-direction.</w:t>
      </w:r>
    </w:p>
    <w:p w:rsidR="00000000" w:rsidRPr="005F2C83" w:rsidP="007F1F01">
      <w:pPr>
        <w:pStyle w:val="BodyText"/>
      </w:pPr>
      <w:r w:rsidRPr="005F2C83">
        <w:t>Licensing, legislative, regulatory or certification requirements apply to this unit of competency. Candidates must hold a current, nationally recognised licence required to operate the concrete agitator truck. Fo</w:t>
      </w:r>
      <w:r w:rsidRPr="005F2C83">
        <w:t>r further information, check with the relevant regulatory authority.</w:t>
      </w:r>
    </w:p>
    <w:p w:rsidR="00000000" w:rsidRPr="005F2C83" w:rsidP="007F1F01">
      <w:pPr>
        <w:pStyle w:val="BodyText"/>
      </w:pPr>
      <w:r w:rsidRPr="005F2C83">
        <w:t>Completion of the general construction induction training program, specified in the Safe Work Australia model </w:t>
      </w:r>
      <w:r w:rsidRPr="005F2C83">
        <w:rPr>
          <w:rStyle w:val="Emphasis"/>
        </w:rPr>
        <w:t>Code of Practice: Construction Work</w:t>
      </w:r>
      <w:r w:rsidRPr="005F2C83">
        <w:t>, is required by anyone carrying out const</w:t>
      </w:r>
      <w:r w:rsidRPr="005F2C83">
        <w:t xml:space="preserve">ruction work. Achievement of </w:t>
      </w:r>
      <w:r w:rsidRPr="005F2C83">
        <w:rPr>
          <w:rStyle w:val="Emphasis"/>
        </w:rPr>
        <w:t>CPCWHS1001</w:t>
      </w:r>
      <w:r w:rsidRPr="005F2C83">
        <w:t> </w:t>
      </w:r>
      <w:r w:rsidRPr="005F2C83">
        <w:rPr>
          <w:rStyle w:val="Emphasis"/>
        </w:rPr>
        <w:t>Prepare to work safely in the construction industry</w:t>
      </w:r>
      <w:r w:rsidRPr="005F2C83">
        <w:t> meets this requirement.</w:t>
      </w:r>
    </w:p>
    <w:p w:rsidR="00000000" w:rsidRPr="005F2C83" w:rsidP="005F2C83">
      <w:pPr>
        <w:pStyle w:val="Heading1"/>
      </w:pPr>
      <w:bookmarkStart w:id="3" w:name="O_1293278"/>
      <w:bookmarkEnd w:id="3"/>
      <w:r w:rsidRPr="005F2C83">
        <w:t>Pre-requisite Unit</w:t>
      </w:r>
    </w:p>
    <w:p w:rsidR="00000000" w:rsidRPr="005F2C83" w:rsidP="007F1F01">
      <w:pPr>
        <w:pStyle w:val="BodyText"/>
      </w:pPr>
      <w:r w:rsidRPr="005F2C83">
        <w:t>CPCCWHS2001 Apply WHS requirements, policies and procedures in the construction industry</w:t>
      </w:r>
    </w:p>
    <w:p w:rsidR="00000000" w:rsidRPr="005F2C83" w:rsidP="005F2C83">
      <w:pPr>
        <w:pStyle w:val="Heading1"/>
      </w:pPr>
      <w:bookmarkStart w:id="4" w:name="O_1293277"/>
      <w:bookmarkEnd w:id="4"/>
      <w:r w:rsidRPr="005F2C83">
        <w:t>Unit Sector</w:t>
      </w:r>
    </w:p>
    <w:p w:rsidR="00000000" w:rsidRPr="005F2C83" w:rsidP="007F1F01">
      <w:pPr>
        <w:pStyle w:val="BodyText"/>
      </w:pPr>
      <w:r w:rsidRPr="005F2C83">
        <w:t>Concreting</w:t>
      </w:r>
    </w:p>
    <w:p w:rsidR="00000000" w:rsidRPr="005F2C83" w:rsidP="005F2C83">
      <w:pPr>
        <w:pStyle w:val="Heading1"/>
      </w:pPr>
      <w:bookmarkStart w:id="5" w:name="O_1293276"/>
      <w:bookmarkEnd w:id="5"/>
      <w:r w:rsidRPr="005F2C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 xml:space="preserve">Elements describe the </w:t>
            </w:r>
            <w:r w:rsidRPr="005F2C83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 xml:space="preserve">Performance criteria describe what needs to be done to </w:t>
            </w:r>
            <w:r w:rsidRPr="005F2C83">
              <w:t>demonstrate achievement of the element.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Plan and prepare to operate c</w:t>
            </w:r>
            <w:r w:rsidRPr="005F2C83">
              <w:t>oncrete agitator truck.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Interpret work instructions for concrete agitator truck operation and clarify requirements with relevant persons.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Plan work tasks to comply with relevant legislation, regulations, work health and safety (WHS), environmental and workplace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Identify hazards associated with planned concrete agitator truck operation and apply risk controls in accordanc</w:t>
            </w:r>
            <w:r w:rsidRPr="005F2C83">
              <w:t>e with regulatory and workplace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Select hand tools and maintenance equipment associated with truck, check for serviceability and rectify or report any faults.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Select and fit required personal protective equipment (PPE).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Conduct concrete agitator truck pre-operational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Carry out truck pre-start, start-up, park and shut-down procedures including emergency shut-down in accordance with manufacturer and site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Check truck controls and functions for serviceability and rectify or report faults.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Check agitator controls and functions for serviceability and rectify or report faults.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Operate concrete agitator truck.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M</w:t>
            </w:r>
            <w:r w:rsidRPr="005F2C83">
              <w:t>anage engine power to ensure efficient truck movements and to minimise damage to engine and gears.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Coordinate engine power with gear selection ensuring smooth transition and operation within torque range.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Drive truck safely in accordance with regulatory and workplace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Monitor road and traffic conditions and adjust truck operation as required to ensure safety.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Bring truck to a halt smoothly using engine retarder, gears and brakes t</w:t>
            </w:r>
            <w:r w:rsidRPr="005F2C83">
              <w:t>o minimise truck wear and tear.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Load, transport and discharge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Position truck at load and discharge points with minimum manoeuvres.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Load truck with concrete mix specified for the job, and with volume or weight of load within authorised carrying capacity of agitator.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Move truck from loading to discharge point safely and smoothly avoiding surge and sway.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Discharge concrete in accordance with work instructions.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Monitor and maintain discharge systems including chutes and adaptors throughout operations.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Carry out operator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Park truck safely, prepare for maintenance, and shut down in accordance with manufacturer and workplace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Carry out basic diagnostic procedures on truck and agitator components and record results in accordance with manufacturer and workp</w:t>
            </w:r>
            <w:r w:rsidRPr="005F2C83">
              <w:t>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Remove and replace defective parts safely and effectively in accordance with manufacturer and workplace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Carry out regular scheduled maintenance tasks in accordance with manufacturer and workplace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Clear work area and dispose of, reuse or recycle materials in accordance with regulatory and workplace requirements.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C83" w:rsidP="005F2C83">
            <w:pPr>
              <w:pStyle w:val="BodyText"/>
            </w:pPr>
            <w:r w:rsidRPr="005F2C83">
              <w:t>Clean, check, maintain and store truck, bowl, tools and equipment in accordance with manufacturer and workplace requirements.</w:t>
            </w:r>
          </w:p>
        </w:tc>
      </w:tr>
    </w:tbl>
    <w:p w:rsidR="00000000" w:rsidRPr="005F2C83" w:rsidP="005F2C83">
      <w:pPr>
        <w:pStyle w:val="BodyText"/>
      </w:pPr>
    </w:p>
    <w:p w:rsidR="00000000" w:rsidRPr="005F2C83" w:rsidP="005F2C83">
      <w:pPr>
        <w:pStyle w:val="AllowPageBreak"/>
      </w:pPr>
    </w:p>
    <w:p w:rsidR="00000000" w:rsidRPr="005F2C83" w:rsidP="005F2C83">
      <w:pPr>
        <w:pStyle w:val="Heading1"/>
      </w:pPr>
      <w:bookmarkStart w:id="6" w:name="O_1293275"/>
      <w:bookmarkEnd w:id="6"/>
      <w:r w:rsidRPr="005F2C83">
        <w:t>Foundation Skills</w:t>
      </w:r>
    </w:p>
    <w:p w:rsidR="00000000" w:rsidRPr="005F2C83" w:rsidP="007F1F01">
      <w:pPr>
        <w:pStyle w:val="BodyText"/>
      </w:pPr>
      <w:r w:rsidRPr="005F2C83">
        <w:t>Foundation skills essential to performance are explicit in the performance criteria of this</w:t>
      </w:r>
      <w:r w:rsidRPr="005F2C83">
        <w:t xml:space="preserve"> unit of competency. </w:t>
      </w:r>
    </w:p>
    <w:p w:rsidR="00000000" w:rsidRPr="005F2C83" w:rsidP="005F2C83">
      <w:pPr>
        <w:pStyle w:val="Heading1"/>
      </w:pPr>
      <w:bookmarkStart w:id="7" w:name="O_1293274"/>
      <w:bookmarkEnd w:id="7"/>
      <w:r w:rsidRPr="005F2C83">
        <w:t>Unit Mapping Information</w:t>
      </w:r>
    </w:p>
    <w:p w:rsidR="00000000" w:rsidRPr="005F2C83" w:rsidP="007F1F01">
      <w:pPr>
        <w:pStyle w:val="BodyText"/>
      </w:pPr>
      <w:r w:rsidRPr="005F2C83">
        <w:t>Supersedes and is equivalent to CPCCCO3054 Operate concrete agitator trucks.</w:t>
      </w:r>
    </w:p>
    <w:p w:rsidR="00000000" w:rsidRPr="005F2C83" w:rsidP="005F2C83">
      <w:pPr>
        <w:pStyle w:val="Heading1"/>
      </w:pPr>
      <w:bookmarkStart w:id="8" w:name="O_1293281"/>
      <w:bookmarkEnd w:id="8"/>
      <w:r w:rsidRPr="005F2C83">
        <w:t>Links</w:t>
      </w:r>
    </w:p>
    <w:p w:rsidR="00000000" w:rsidRPr="005F2C83" w:rsidP="007F1F01">
      <w:pPr>
        <w:pStyle w:val="BodyText"/>
      </w:pPr>
      <w:r w:rsidRPr="005F2C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0B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2C83" w:rsidP="007F1F01">
      <w:pPr>
        <w:pStyle w:val="BodyText"/>
        <w:sectPr w:rsidSect="005F2C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2C83" w:rsidP="005F2C83">
      <w:pPr>
        <w:pStyle w:val="SuperHeading"/>
      </w:pPr>
      <w:r w:rsidRPr="005F2C83">
        <w:t>Assessment Requirements for CPCCON3054 Oper</w:t>
      </w:r>
      <w:r w:rsidRPr="005F2C83">
        <w:t>ate concrete agitator trucks</w:t>
      </w:r>
    </w:p>
    <w:p w:rsidR="00000000" w:rsidRPr="005F2C83" w:rsidP="005F2C83">
      <w:pPr>
        <w:pStyle w:val="Heading1"/>
      </w:pPr>
      <w:bookmarkStart w:id="9" w:name="O_1293272"/>
      <w:bookmarkEnd w:id="9"/>
      <w:r w:rsidRPr="005F2C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Updated reference to general construction induction training program.</w:t>
            </w:r>
          </w:p>
        </w:tc>
      </w:tr>
      <w:tr w:rsidTr="005F2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C83">
            <w:pPr>
              <w:pStyle w:val="BodyText"/>
              <w:rPr>
                <w:lang w:val="en-NZ"/>
              </w:rPr>
            </w:pPr>
            <w:r w:rsidRPr="005F2C83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C83" w:rsidP="005F2C83">
            <w:pPr>
              <w:pStyle w:val="BodyText"/>
            </w:pPr>
            <w:r w:rsidRPr="005F2C83">
              <w:t>This version first released with CPC Construction, Plumbing and Services Training Package Release</w:t>
            </w:r>
            <w:r w:rsidRPr="005F2C83">
              <w:t xml:space="preserve"> 5.0.</w:t>
            </w:r>
          </w:p>
          <w:p w:rsidR="00000000" w:rsidRPr="005F2C83" w:rsidP="005F2C83">
            <w:pPr>
              <w:pStyle w:val="BodyText"/>
            </w:pPr>
            <w:r w:rsidRPr="005F2C83">
              <w:t>Supersedes and is equivalent to CPCCCO3054 Operate concrete agitator trucks.</w:t>
            </w:r>
          </w:p>
        </w:tc>
      </w:tr>
    </w:tbl>
    <w:p w:rsidR="00000000" w:rsidRPr="005F2C83" w:rsidP="005F2C83">
      <w:pPr>
        <w:pStyle w:val="BodyText"/>
      </w:pPr>
    </w:p>
    <w:p w:rsidR="00000000" w:rsidRPr="005F2C83" w:rsidP="005F2C83">
      <w:pPr>
        <w:pStyle w:val="AllowPageBreak"/>
      </w:pPr>
    </w:p>
    <w:p w:rsidR="00000000" w:rsidRPr="005F2C83" w:rsidP="005F2C83">
      <w:pPr>
        <w:pStyle w:val="Heading1"/>
      </w:pPr>
      <w:bookmarkStart w:id="10" w:name="O_1293271"/>
      <w:bookmarkEnd w:id="10"/>
      <w:r w:rsidRPr="005F2C83">
        <w:t>Performance Evidence</w:t>
      </w:r>
    </w:p>
    <w:p w:rsidR="00000000" w:rsidRPr="005F2C83" w:rsidP="007F1F01">
      <w:pPr>
        <w:pStyle w:val="BodyText"/>
      </w:pPr>
      <w:r w:rsidRPr="005F2C83">
        <w:t>To demonstrate competency, a candidate must meet the elements and performance criteria of this unit by operating a concrete agitator truck over three shifts involving two different work sites.</w:t>
      </w:r>
    </w:p>
    <w:p w:rsidR="00000000" w:rsidRPr="005F2C83" w:rsidP="005F2C83">
      <w:pPr>
        <w:pStyle w:val="Heading1"/>
      </w:pPr>
      <w:bookmarkStart w:id="11" w:name="O_1293270"/>
      <w:bookmarkEnd w:id="11"/>
      <w:r w:rsidRPr="005F2C83">
        <w:t>Knowledge Evidence</w:t>
      </w:r>
    </w:p>
    <w:p w:rsidR="00000000" w:rsidRPr="005F2C83" w:rsidP="007F1F01">
      <w:pPr>
        <w:pStyle w:val="BodyText"/>
      </w:pPr>
      <w:r w:rsidRPr="005F2C83">
        <w:t>To be competent in this u</w:t>
      </w:r>
      <w:r w:rsidRPr="005F2C83">
        <w:t>nit, a candidate must demonstrate knowledge of:</w:t>
      </w:r>
    </w:p>
    <w:p w:rsidR="00000000" w:rsidRPr="005F2C83" w:rsidP="005F2C83">
      <w:pPr>
        <w:pStyle w:val="ListBullet"/>
      </w:pPr>
      <w:r w:rsidRPr="005F2C83">
        <w:t>characteristics of concrete carried in concrete agitator trucks</w:t>
      </w:r>
    </w:p>
    <w:p w:rsidR="00000000" w:rsidRPr="005F2C83" w:rsidP="005F2C83">
      <w:pPr>
        <w:pStyle w:val="ListBullet"/>
      </w:pPr>
      <w:r w:rsidRPr="005F2C83">
        <w:t>compliance requirements of legislation, regulations and codes relevant to concrete agitator truck operation:</w:t>
      </w:r>
    </w:p>
    <w:p w:rsidR="00000000" w:rsidRPr="005F2C83" w:rsidP="005F2C83">
      <w:pPr>
        <w:pStyle w:val="ListBullet2"/>
      </w:pPr>
      <w:r w:rsidRPr="005F2C83">
        <w:t>environmental protection and wast</w:t>
      </w:r>
      <w:r w:rsidRPr="005F2C83">
        <w:t>e disposal</w:t>
      </w:r>
    </w:p>
    <w:p w:rsidR="00000000" w:rsidRPr="005F2C83" w:rsidP="005F2C83">
      <w:pPr>
        <w:pStyle w:val="ListBullet2"/>
      </w:pPr>
      <w:r w:rsidRPr="005F2C83">
        <w:t>licensing for truck operation</w:t>
      </w:r>
    </w:p>
    <w:p w:rsidR="00000000" w:rsidRPr="005F2C83" w:rsidP="005F2C83">
      <w:pPr>
        <w:pStyle w:val="ListBullet2"/>
      </w:pPr>
      <w:r w:rsidRPr="005F2C83">
        <w:t>work health and safety (WHS)</w:t>
      </w:r>
    </w:p>
    <w:p w:rsidR="00000000" w:rsidRPr="005F2C83" w:rsidP="005F2C83">
      <w:pPr>
        <w:pStyle w:val="ListBullet"/>
      </w:pPr>
      <w:r w:rsidRPr="005F2C83">
        <w:t>operational and maintenance requirements of concrete agitator truck:</w:t>
      </w:r>
    </w:p>
    <w:p w:rsidR="00000000" w:rsidRPr="005F2C83" w:rsidP="005F2C83">
      <w:pPr>
        <w:pStyle w:val="ListBullet2"/>
      </w:pPr>
      <w:r w:rsidRPr="005F2C83">
        <w:t>basic diagnostic procedures</w:t>
      </w:r>
    </w:p>
    <w:p w:rsidR="00000000" w:rsidRPr="005F2C83" w:rsidP="005F2C83">
      <w:pPr>
        <w:pStyle w:val="ListBullet2"/>
      </w:pPr>
      <w:r w:rsidRPr="005F2C83">
        <w:t>how and when to activate emergency shut-down procedures</w:t>
      </w:r>
    </w:p>
    <w:p w:rsidR="00000000" w:rsidRPr="005F2C83" w:rsidP="005F2C83">
      <w:pPr>
        <w:pStyle w:val="ListBullet2"/>
      </w:pPr>
      <w:r w:rsidRPr="005F2C83">
        <w:t>key components and controls and their functions</w:t>
      </w:r>
    </w:p>
    <w:p w:rsidR="00000000" w:rsidRPr="005F2C83" w:rsidP="005F2C83">
      <w:pPr>
        <w:pStyle w:val="ListBullet2"/>
      </w:pPr>
      <w:r w:rsidRPr="005F2C83">
        <w:t>operator maintenance procedures</w:t>
      </w:r>
    </w:p>
    <w:p w:rsidR="00000000" w:rsidRPr="005F2C83" w:rsidP="005F2C83">
      <w:pPr>
        <w:pStyle w:val="ListBullet2"/>
      </w:pPr>
      <w:r w:rsidRPr="005F2C83">
        <w:t>pre-start, start-up, park and shut-down</w:t>
      </w:r>
    </w:p>
    <w:p w:rsidR="00000000" w:rsidRPr="005F2C83" w:rsidP="005F2C83">
      <w:pPr>
        <w:pStyle w:val="ListBullet2"/>
      </w:pPr>
      <w:r w:rsidRPr="005F2C83">
        <w:t>techniques for positioning truck at load and discharge points</w:t>
      </w:r>
    </w:p>
    <w:p w:rsidR="00000000" w:rsidRPr="005F2C83" w:rsidP="005F2C83">
      <w:pPr>
        <w:pStyle w:val="ListBullet"/>
      </w:pPr>
      <w:r w:rsidRPr="005F2C83">
        <w:t>processes for loading, transporting and discharging concrete:</w:t>
      </w:r>
    </w:p>
    <w:p w:rsidR="00000000" w:rsidRPr="005F2C83" w:rsidP="005F2C83">
      <w:pPr>
        <w:pStyle w:val="ListBullet2"/>
      </w:pPr>
      <w:r w:rsidRPr="005F2C83">
        <w:t>authorised</w:t>
      </w:r>
      <w:r w:rsidRPr="005F2C83">
        <w:t xml:space="preserve"> carrying capacity of agitator</w:t>
      </w:r>
    </w:p>
    <w:p w:rsidR="00000000" w:rsidRPr="005F2C83" w:rsidP="005F2C83">
      <w:pPr>
        <w:pStyle w:val="ListBullet2"/>
      </w:pPr>
      <w:r w:rsidRPr="005F2C83">
        <w:t>methods for avoiding surge and sway</w:t>
      </w:r>
    </w:p>
    <w:p w:rsidR="00000000" w:rsidRPr="005F2C83" w:rsidP="005F2C83">
      <w:pPr>
        <w:pStyle w:val="ListBullet"/>
      </w:pPr>
      <w:r w:rsidRPr="005F2C83">
        <w:t>workplace requirements for operating concrete agitator truck:</w:t>
      </w:r>
    </w:p>
    <w:p w:rsidR="00000000" w:rsidRPr="005F2C83" w:rsidP="005F2C83">
      <w:pPr>
        <w:pStyle w:val="ListBullet2"/>
      </w:pPr>
      <w:r w:rsidRPr="005F2C83">
        <w:t>cleaning up the work area</w:t>
      </w:r>
    </w:p>
    <w:p w:rsidR="00000000" w:rsidRPr="005F2C83" w:rsidP="005F2C83">
      <w:pPr>
        <w:pStyle w:val="ListBullet2"/>
      </w:pPr>
      <w:r w:rsidRPr="005F2C83">
        <w:t>maintaining and storing tools and equipment</w:t>
      </w:r>
    </w:p>
    <w:p w:rsidR="00000000" w:rsidRPr="005F2C83" w:rsidP="005F2C83">
      <w:pPr>
        <w:pStyle w:val="ListBullet2"/>
      </w:pPr>
      <w:r w:rsidRPr="005F2C83">
        <w:t>reporting problems</w:t>
      </w:r>
    </w:p>
    <w:p w:rsidR="00000000" w:rsidRPr="005F2C83" w:rsidP="005F2C83">
      <w:pPr>
        <w:pStyle w:val="ListBullet2"/>
      </w:pPr>
      <w:r w:rsidRPr="005F2C83">
        <w:t>safety requirements including personal protective equipment (PPE).</w:t>
      </w:r>
    </w:p>
    <w:p w:rsidR="00000000" w:rsidRPr="005F2C83" w:rsidP="005F2C83">
      <w:pPr>
        <w:pStyle w:val="AllowPageBreak"/>
      </w:pPr>
    </w:p>
    <w:p w:rsidR="00000000" w:rsidRPr="005F2C83" w:rsidP="005F2C83">
      <w:pPr>
        <w:pStyle w:val="Heading1"/>
      </w:pPr>
      <w:bookmarkStart w:id="12" w:name="O_1293269"/>
      <w:bookmarkEnd w:id="12"/>
      <w:r w:rsidRPr="005F2C83">
        <w:t>Assessment Conditions</w:t>
      </w:r>
    </w:p>
    <w:p w:rsidR="00000000" w:rsidRPr="005F2C83" w:rsidP="007F1F01">
      <w:pPr>
        <w:pStyle w:val="BodyText"/>
      </w:pPr>
      <w:r w:rsidRPr="005F2C83">
        <w:t xml:space="preserve">Assessors must meet the requirements for assessors contained in the Standards for Registered Training Organisations. </w:t>
      </w:r>
    </w:p>
    <w:p w:rsidR="00000000" w:rsidRPr="005F2C83" w:rsidP="007F1F01">
      <w:pPr>
        <w:pStyle w:val="BodyText"/>
      </w:pPr>
      <w:r w:rsidRPr="005F2C83">
        <w:t>Assessment must be conducted i</w:t>
      </w:r>
      <w:r w:rsidRPr="005F2C83">
        <w:t>n the workplace or a simulated workplace using realistic conditions, materials, activities, responsibilities, procedures, safety requirements and environmental considerations.</w:t>
      </w:r>
    </w:p>
    <w:p w:rsidR="00000000" w:rsidRPr="005F2C83" w:rsidP="007F1F01">
      <w:pPr>
        <w:pStyle w:val="BodyText"/>
      </w:pPr>
      <w:r w:rsidRPr="005F2C83">
        <w:t xml:space="preserve">Candidates must have access to documentation, specifications, concrete agitator </w:t>
      </w:r>
      <w:r w:rsidRPr="005F2C83">
        <w:t>truck and associated tools and equipment required to achieve the performance evidence.</w:t>
      </w:r>
    </w:p>
    <w:p w:rsidR="00000000" w:rsidRPr="005F2C83" w:rsidP="005F2C83">
      <w:pPr>
        <w:pStyle w:val="Heading1"/>
      </w:pPr>
      <w:bookmarkStart w:id="13" w:name="O_1293282"/>
      <w:bookmarkEnd w:id="13"/>
      <w:r w:rsidRPr="005F2C83">
        <w:t>Links</w:t>
      </w:r>
    </w:p>
    <w:p w:rsidR="00000000" w:rsidRPr="005F2C83" w:rsidP="007F1F01">
      <w:pPr>
        <w:pStyle w:val="BodyText"/>
      </w:pPr>
      <w:r w:rsidRPr="005F2C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0B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2C83" w:rsidP="005F2C83"/>
    <w:sectPr w:rsidSect="005F2C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83" w:rsidRPr="007F1F01" w:rsidP="007F1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01" w:rsidP="005F2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F01" w:rsidP="005F2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F1F01" w:rsidP="005F2C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83" w:rsidP="005F2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F01">
      <w:t>Approved</w:t>
    </w:r>
    <w:r w:rsidR="007F1F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F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F01">
      <w:rPr>
        <w:noProof/>
      </w:rPr>
      <w:t>4</w:t>
    </w:r>
    <w:r>
      <w:rPr>
        <w:noProof/>
      </w:rPr>
      <w:fldChar w:fldCharType="end"/>
    </w:r>
  </w:p>
  <w:p w:rsidR="005F2C83" w:rsidP="005F2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F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F01">
      <w:t>BuildSkills Australia</w:t>
    </w:r>
    <w:r w:rsidR="007F1F01">
      <w:fldChar w:fldCharType="end"/>
    </w:r>
  </w:p>
  <w:p w:rsidR="005F2C83" w:rsidP="005F2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C83" w:rsidRPr="007F1F01" w:rsidP="007F1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01" w:rsidRPr="002D2AF8" w:rsidP="005F2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CPCCON3054 Operate concrete agitator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1F01" w:rsidP="005F2C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83" w:rsidRPr="002D2AF8" w:rsidP="005F2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F01">
      <w:t>CPCCON3054 Operate concrete agitator trucks</w:t>
    </w:r>
    <w:r w:rsidR="007F1F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F01">
      <w:rPr>
        <w:noProof/>
      </w:rPr>
      <w:t>1 March 2025</w:t>
    </w:r>
    <w:r>
      <w:fldChar w:fldCharType="end"/>
    </w:r>
  </w:p>
  <w:p w:rsidR="005F2C83" w:rsidP="005F2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F88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409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BA4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C83"/>
  </w:style>
  <w:style w:type="character" w:customStyle="1" w:styleId="Heading1Char">
    <w:name w:val="Heading 1 Char"/>
    <w:basedOn w:val="DefaultParagraphFont"/>
    <w:link w:val="Heading1"/>
    <w:rsid w:val="005F2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C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C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2C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2C83"/>
    <w:rPr>
      <w:i/>
    </w:rPr>
  </w:style>
  <w:style w:type="paragraph" w:customStyle="1" w:styleId="SuperHeading">
    <w:name w:val="SuperHeading"/>
    <w:basedOn w:val="Normal"/>
    <w:rsid w:val="005F2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C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C83"/>
    <w:rPr>
      <w:b/>
      <w:spacing w:val="0"/>
    </w:rPr>
  </w:style>
  <w:style w:type="paragraph" w:customStyle="1" w:styleId="SuperTitle">
    <w:name w:val="SuperTitle"/>
    <w:basedOn w:val="Title"/>
    <w:rsid w:val="005F2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C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C83"/>
  </w:style>
  <w:style w:type="paragraph" w:styleId="TableofFigures">
    <w:name w:val="table of figures"/>
    <w:basedOn w:val="Normal"/>
    <w:next w:val="Normal"/>
    <w:semiHidden/>
    <w:rsid w:val="005F2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C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C83"/>
    <w:rPr>
      <w:rFonts w:ascii="Wingdings" w:hAnsi="Wingdings"/>
    </w:rPr>
  </w:style>
  <w:style w:type="paragraph" w:customStyle="1" w:styleId="TableHeading">
    <w:name w:val="Table Heading"/>
    <w:basedOn w:val="HeadingBase"/>
    <w:rsid w:val="005F2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C83"/>
    <w:rPr>
      <w:color w:val="0033CC"/>
      <w:u w:val="none"/>
    </w:rPr>
  </w:style>
  <w:style w:type="paragraph" w:customStyle="1" w:styleId="BodyTextRight">
    <w:name w:val="Body Text Right"/>
    <w:basedOn w:val="BodyText"/>
    <w:rsid w:val="005F2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C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C83"/>
    <w:rPr>
      <w:sz w:val="32"/>
    </w:rPr>
  </w:style>
  <w:style w:type="paragraph" w:customStyle="1" w:styleId="HeadingProcedure">
    <w:name w:val="Heading Procedure"/>
    <w:basedOn w:val="HeadingBase"/>
    <w:next w:val="Normal"/>
    <w:rsid w:val="005F2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C83"/>
    <w:pPr>
      <w:spacing w:before="60" w:after="60"/>
    </w:pPr>
  </w:style>
  <w:style w:type="paragraph" w:styleId="ListContinue">
    <w:name w:val="List Continue"/>
    <w:basedOn w:val="List"/>
    <w:rsid w:val="005F2C83"/>
    <w:pPr>
      <w:ind w:firstLine="0"/>
    </w:pPr>
  </w:style>
  <w:style w:type="paragraph" w:customStyle="1" w:styleId="ListNote">
    <w:name w:val="List Note"/>
    <w:basedOn w:val="List"/>
    <w:rsid w:val="005F2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C83"/>
    <w:rPr>
      <w:rFonts w:ascii="Courier New" w:hAnsi="Courier New"/>
    </w:rPr>
  </w:style>
  <w:style w:type="paragraph" w:customStyle="1" w:styleId="NoteBullet">
    <w:name w:val="Note Bullet"/>
    <w:basedOn w:val="Note"/>
    <w:rsid w:val="005F2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C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C83"/>
    <w:rPr>
      <w:b/>
      <w:smallCaps/>
    </w:rPr>
  </w:style>
  <w:style w:type="paragraph" w:customStyle="1" w:styleId="TableListNumber">
    <w:name w:val="Table List Number"/>
    <w:basedOn w:val="ListNumber"/>
    <w:rsid w:val="005F2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C83"/>
    <w:pPr>
      <w:numPr>
        <w:numId w:val="9"/>
      </w:numPr>
    </w:pPr>
  </w:style>
  <w:style w:type="paragraph" w:customStyle="1" w:styleId="ListAlpha2">
    <w:name w:val="List Alpha 2"/>
    <w:basedOn w:val="List2"/>
    <w:rsid w:val="005F2C83"/>
    <w:pPr>
      <w:numPr>
        <w:numId w:val="8"/>
      </w:numPr>
    </w:pPr>
  </w:style>
  <w:style w:type="paragraph" w:styleId="List2">
    <w:name w:val="List 2"/>
    <w:basedOn w:val="BodyText"/>
    <w:rsid w:val="005F2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C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C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C83"/>
    <w:pPr>
      <w:numPr>
        <w:numId w:val="4"/>
      </w:numPr>
    </w:pPr>
  </w:style>
  <w:style w:type="paragraph" w:styleId="ListContinue2">
    <w:name w:val="List Continue 2"/>
    <w:basedOn w:val="List2"/>
    <w:rsid w:val="005F2C83"/>
    <w:pPr>
      <w:ind w:firstLine="0"/>
    </w:pPr>
  </w:style>
  <w:style w:type="paragraph" w:styleId="ListContinue3">
    <w:name w:val="List Continue 3"/>
    <w:basedOn w:val="List3"/>
    <w:rsid w:val="005F2C83"/>
    <w:pPr>
      <w:ind w:left="1021" w:firstLine="0"/>
    </w:pPr>
  </w:style>
  <w:style w:type="paragraph" w:styleId="ListContinue4">
    <w:name w:val="List Continue 4"/>
    <w:basedOn w:val="List4"/>
    <w:rsid w:val="005F2C83"/>
    <w:pPr>
      <w:ind w:firstLine="0"/>
    </w:pPr>
  </w:style>
  <w:style w:type="paragraph" w:styleId="ListContinue5">
    <w:name w:val="List Continue 5"/>
    <w:basedOn w:val="List5"/>
    <w:rsid w:val="005F2C83"/>
    <w:pPr>
      <w:ind w:firstLine="0"/>
    </w:pPr>
  </w:style>
  <w:style w:type="paragraph" w:styleId="ListNumber3">
    <w:name w:val="List Number 3"/>
    <w:basedOn w:val="List3"/>
    <w:rsid w:val="005F2C83"/>
    <w:pPr>
      <w:numPr>
        <w:numId w:val="5"/>
      </w:numPr>
    </w:pPr>
  </w:style>
  <w:style w:type="paragraph" w:styleId="ListNumber4">
    <w:name w:val="List Number 4"/>
    <w:basedOn w:val="List4"/>
    <w:rsid w:val="005F2C83"/>
    <w:pPr>
      <w:numPr>
        <w:numId w:val="6"/>
      </w:numPr>
    </w:pPr>
  </w:style>
  <w:style w:type="paragraph" w:styleId="ListNumber5">
    <w:name w:val="List Number 5"/>
    <w:basedOn w:val="List5"/>
    <w:rsid w:val="005F2C83"/>
    <w:pPr>
      <w:numPr>
        <w:numId w:val="7"/>
      </w:numPr>
    </w:pPr>
  </w:style>
  <w:style w:type="paragraph" w:styleId="BlockText">
    <w:name w:val="Block Text"/>
    <w:basedOn w:val="Normal"/>
    <w:rsid w:val="005F2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C83"/>
    <w:rPr>
      <w:sz w:val="16"/>
      <w:vertAlign w:val="superscript"/>
    </w:rPr>
  </w:style>
  <w:style w:type="character" w:customStyle="1" w:styleId="Symbols">
    <w:name w:val="Symbols"/>
    <w:basedOn w:val="DefaultParagraphFont"/>
    <w:rsid w:val="005F2C83"/>
    <w:rPr>
      <w:rFonts w:ascii="Symbol" w:hAnsi="Symbol"/>
    </w:rPr>
  </w:style>
  <w:style w:type="character" w:customStyle="1" w:styleId="MenuOptions">
    <w:name w:val="Menu Options"/>
    <w:basedOn w:val="DefaultParagraphFont"/>
    <w:rsid w:val="005F2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C83"/>
    <w:rPr>
      <w:b/>
    </w:rPr>
  </w:style>
  <w:style w:type="character" w:customStyle="1" w:styleId="Underlined">
    <w:name w:val="Underlined"/>
    <w:basedOn w:val="DefaultParagraphFont"/>
    <w:rsid w:val="005F2C83"/>
    <w:rPr>
      <w:u w:val="single"/>
    </w:rPr>
  </w:style>
  <w:style w:type="paragraph" w:customStyle="1" w:styleId="TableBodyTextRight">
    <w:name w:val="Table Body Text Right"/>
    <w:basedOn w:val="TableBodyText"/>
    <w:rsid w:val="005F2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C83"/>
    <w:rPr>
      <w:sz w:val="18"/>
    </w:rPr>
  </w:style>
  <w:style w:type="paragraph" w:customStyle="1" w:styleId="BodySmallRight">
    <w:name w:val="Body Small Right"/>
    <w:basedOn w:val="BodyTextRight"/>
    <w:rsid w:val="005F2C83"/>
    <w:rPr>
      <w:sz w:val="18"/>
      <w:szCs w:val="18"/>
    </w:rPr>
  </w:style>
  <w:style w:type="paragraph" w:customStyle="1" w:styleId="MarginEdition">
    <w:name w:val="Margin Edition"/>
    <w:basedOn w:val="MarginNote"/>
    <w:rsid w:val="005F2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C83"/>
    <w:rPr>
      <w:sz w:val="2"/>
      <w:szCs w:val="2"/>
    </w:rPr>
  </w:style>
  <w:style w:type="character" w:customStyle="1" w:styleId="Small">
    <w:name w:val="Small"/>
    <w:basedOn w:val="DefaultParagraphFont"/>
    <w:rsid w:val="005F2C83"/>
    <w:rPr>
      <w:sz w:val="16"/>
    </w:rPr>
  </w:style>
  <w:style w:type="paragraph" w:customStyle="1" w:styleId="WideTable">
    <w:name w:val="Wide Table"/>
    <w:basedOn w:val="Normal"/>
    <w:rsid w:val="005F2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C83"/>
  </w:style>
  <w:style w:type="paragraph" w:styleId="Quote">
    <w:name w:val="Quote"/>
    <w:basedOn w:val="Heading1"/>
    <w:link w:val="QuoteChar"/>
    <w:qFormat/>
    <w:rsid w:val="005F2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C83"/>
    <w:pPr>
      <w:pageBreakBefore/>
    </w:pPr>
  </w:style>
  <w:style w:type="paragraph" w:customStyle="1" w:styleId="Border">
    <w:name w:val="Border"/>
    <w:basedOn w:val="Normal"/>
    <w:qFormat/>
    <w:rsid w:val="005F2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C83"/>
    <w:rPr>
      <w:u w:val="single"/>
    </w:rPr>
  </w:style>
  <w:style w:type="character" w:customStyle="1" w:styleId="BoldandItalics">
    <w:name w:val="Bold and Italics"/>
    <w:qFormat/>
    <w:rsid w:val="005F2C83"/>
    <w:rPr>
      <w:b/>
      <w:i/>
      <w:u w:val="none"/>
    </w:rPr>
  </w:style>
  <w:style w:type="paragraph" w:styleId="BalloonText">
    <w:name w:val="Balloon Text"/>
    <w:basedOn w:val="Normal"/>
    <w:link w:val="BalloonTextChar"/>
    <w:rsid w:val="005F2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C83"/>
    <w:pPr>
      <w:spacing w:before="0" w:after="0"/>
    </w:pPr>
  </w:style>
  <w:style w:type="paragraph" w:customStyle="1" w:styleId="BodyTextBold">
    <w:name w:val="Body Text Bold"/>
    <w:basedOn w:val="BodyText"/>
    <w:qFormat/>
    <w:rsid w:val="005F2C83"/>
    <w:rPr>
      <w:b/>
    </w:rPr>
  </w:style>
  <w:style w:type="character" w:styleId="Hyperlink">
    <w:name w:val="Hyperlink"/>
    <w:basedOn w:val="DefaultParagraphFont"/>
    <w:uiPriority w:val="99"/>
    <w:unhideWhenUsed/>
    <w:rsid w:val="007F1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6721</Characters>
  <Application>Microsoft Office Word</Application>
  <DocSecurity>0</DocSecurity>
  <Lines>268</Lines>
  <Paragraphs>149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CPCCON3054 Operate concrete agitator trucks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