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B16" w:rsidP="00BA0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CPCCON3053 Slump-test concrete</w:t>
      </w:r>
      <w:r>
        <w:fldChar w:fldCharType="end"/>
      </w:r>
    </w:p>
    <w:p w:rsidR="00BA0B16" w:rsidP="00BA0B16">
      <w:pPr>
        <w:pStyle w:val="Version"/>
        <w:sectPr w:rsidSect="00FD3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3D00" w:rsidP="00FD3D00">
      <w:pPr>
        <w:pStyle w:val="SuperHeading"/>
      </w:pPr>
      <w:r w:rsidRPr="00FD3D00">
        <w:t>CPCCON3053 Slump-test concrete</w:t>
      </w:r>
    </w:p>
    <w:p w:rsidR="00000000" w:rsidRPr="00FD3D00" w:rsidP="00FD3D00">
      <w:pPr>
        <w:pStyle w:val="Heading1"/>
      </w:pPr>
      <w:bookmarkStart w:id="1" w:name="O_1293309"/>
      <w:bookmarkEnd w:id="1"/>
      <w:r w:rsidRPr="00FD3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6663"/>
      </w:tblGrid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Updated reference to general construction induction training program.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00" w:rsidP="00FD3D00">
            <w:pPr>
              <w:pStyle w:val="BodyText"/>
            </w:pPr>
            <w:r w:rsidRPr="00FD3D00">
              <w:t>This version first released with CPC Construction, Plumbing and Services Training Package Release 5.0.</w:t>
            </w:r>
          </w:p>
          <w:p w:rsidR="00000000" w:rsidRPr="00FD3D00" w:rsidP="00FD3D00">
            <w:pPr>
              <w:pStyle w:val="BodyText"/>
            </w:pPr>
            <w:r w:rsidRPr="00FD3D00">
              <w:t>Supersedes and is equivalent to CPCCCO305</w:t>
            </w:r>
            <w:r w:rsidRPr="00FD3D00">
              <w:t>3 Slump test concrete.</w:t>
            </w:r>
          </w:p>
        </w:tc>
      </w:tr>
    </w:tbl>
    <w:p w:rsidR="00000000" w:rsidRPr="00FD3D00" w:rsidP="00FD3D00">
      <w:pPr>
        <w:pStyle w:val="BodyText"/>
      </w:pPr>
    </w:p>
    <w:p w:rsidR="00000000" w:rsidRPr="00FD3D00" w:rsidP="00FD3D00">
      <w:pPr>
        <w:pStyle w:val="AllowPageBreak"/>
      </w:pPr>
    </w:p>
    <w:p w:rsidR="00000000" w:rsidRPr="00FD3D00" w:rsidP="00FD3D00">
      <w:pPr>
        <w:pStyle w:val="Heading1"/>
      </w:pPr>
      <w:bookmarkStart w:id="2" w:name="O_1293306"/>
      <w:bookmarkEnd w:id="2"/>
      <w:r w:rsidRPr="00FD3D00">
        <w:t>Application</w:t>
      </w:r>
    </w:p>
    <w:p w:rsidR="00000000" w:rsidRPr="00FD3D00" w:rsidP="00BA0B16">
      <w:pPr>
        <w:pStyle w:val="BodyText"/>
      </w:pPr>
      <w:r w:rsidRPr="00FD3D00">
        <w:t>This unit of competency specifies the skills and knowledge required to slump-test concrete to ensure that the mix is workable and complies with the delivery docket and specified order. It includes sam</w:t>
      </w:r>
      <w:r w:rsidRPr="00FD3D00">
        <w:t xml:space="preserve">pling and slump-testing supplied concrete. </w:t>
      </w:r>
    </w:p>
    <w:p w:rsidR="00000000" w:rsidRPr="00FD3D00" w:rsidP="00BA0B16">
      <w:pPr>
        <w:pStyle w:val="BodyText"/>
      </w:pPr>
      <w:r w:rsidRPr="00FD3D00">
        <w:t>A person who has achieved this unit of competency is expected to take responsibility for organising and completing these tasks with a high degree of self-direction.</w:t>
      </w:r>
    </w:p>
    <w:p w:rsidR="00000000" w:rsidRPr="00FD3D00" w:rsidP="00BA0B16">
      <w:pPr>
        <w:pStyle w:val="BodyText"/>
      </w:pPr>
      <w:r w:rsidRPr="00FD3D00">
        <w:t>Licensing, legislative, regulatory or certifica</w:t>
      </w:r>
      <w:r w:rsidRPr="00FD3D00">
        <w:t>tion requirements may apply to this unit of competency in some states and territories. For further information, check with the relevant regulatory authority.</w:t>
      </w:r>
    </w:p>
    <w:p w:rsidR="00000000" w:rsidRPr="00FD3D00" w:rsidP="00BA0B16">
      <w:pPr>
        <w:pStyle w:val="BodyText"/>
      </w:pPr>
      <w:r w:rsidRPr="00FD3D00">
        <w:t>Completion of the general construction induction training program, specified in the Safe Work Aust</w:t>
      </w:r>
      <w:r w:rsidRPr="00FD3D00">
        <w:t>ralia model </w:t>
      </w:r>
      <w:r w:rsidRPr="00FD3D00">
        <w:rPr>
          <w:rStyle w:val="Emphasis"/>
        </w:rPr>
        <w:t>Code of Practice: Construction Work</w:t>
      </w:r>
      <w:r w:rsidRPr="00FD3D00">
        <w:t xml:space="preserve">, is required by anyone carrying out construction work. Achievement of </w:t>
      </w:r>
      <w:r w:rsidRPr="00FD3D00">
        <w:rPr>
          <w:rStyle w:val="Emphasis"/>
        </w:rPr>
        <w:t>CPCWHS1001</w:t>
      </w:r>
      <w:r w:rsidRPr="00FD3D00">
        <w:t> </w:t>
      </w:r>
      <w:r w:rsidRPr="00FD3D00">
        <w:rPr>
          <w:rStyle w:val="Emphasis"/>
        </w:rPr>
        <w:t>Prepare to work safely in the construction industry</w:t>
      </w:r>
      <w:r w:rsidRPr="00FD3D00">
        <w:t> meets this requirement.</w:t>
      </w:r>
    </w:p>
    <w:p w:rsidR="00000000" w:rsidRPr="00FD3D00" w:rsidP="00FD3D00">
      <w:pPr>
        <w:pStyle w:val="Heading1"/>
      </w:pPr>
      <w:bookmarkStart w:id="3" w:name="O_1293304"/>
      <w:bookmarkEnd w:id="3"/>
      <w:r w:rsidRPr="00FD3D00">
        <w:t>Pre-requisite Unit</w:t>
      </w:r>
    </w:p>
    <w:p w:rsidR="00000000" w:rsidRPr="00FD3D00" w:rsidP="00BA0B16">
      <w:pPr>
        <w:pStyle w:val="BodyText"/>
      </w:pPr>
      <w:r w:rsidRPr="00FD3D00">
        <w:t>CPCCWHS2001 Apply WHS requirements, policies and procedures in the construction industry</w:t>
      </w:r>
    </w:p>
    <w:p w:rsidR="00000000" w:rsidRPr="00FD3D00" w:rsidP="00FD3D00">
      <w:pPr>
        <w:pStyle w:val="Heading1"/>
      </w:pPr>
      <w:bookmarkStart w:id="4" w:name="O_1293302"/>
      <w:bookmarkEnd w:id="4"/>
      <w:r w:rsidRPr="00FD3D00">
        <w:t>Unit Sector</w:t>
      </w:r>
    </w:p>
    <w:p w:rsidR="00000000" w:rsidRPr="00FD3D00" w:rsidP="00BA0B16">
      <w:pPr>
        <w:pStyle w:val="BodyText"/>
      </w:pPr>
      <w:r w:rsidRPr="00FD3D00">
        <w:t>Concreting</w:t>
      </w:r>
    </w:p>
    <w:p w:rsidR="00000000" w:rsidRPr="00FD3D00" w:rsidP="00FD3D00">
      <w:pPr>
        <w:pStyle w:val="Heading1"/>
      </w:pPr>
      <w:bookmarkStart w:id="5" w:name="O_1293300"/>
      <w:bookmarkEnd w:id="5"/>
      <w:r w:rsidRPr="00FD3D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Performance criteria describe</w:t>
            </w:r>
            <w:r w:rsidRPr="00FD3D00">
              <w:t xml:space="preserve"> what needs to be done to demonstrate achievement of the element.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Plan and prepare to slump</w:t>
            </w:r>
            <w:r w:rsidRPr="00FD3D00">
              <w:noBreakHyphen/>
              <w:t>test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Interpret concrete specifications and clarify slump requirements in consultation with relevant persons.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Plan work tasks to comply with relevant legislation, regulations, standards, codes, work health and safety (WHS), environmental and workplace requirements.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 xml:space="preserve">Select tools and equipment for slump-testing, check for serviceability and rectify or report </w:t>
            </w:r>
            <w:r w:rsidRPr="00FD3D00">
              <w:t>any faults.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Select and fit required personal protective equipment (PPE).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Inspect worksite, identify hazards, assess risks and apply risk controls, including required signage and barricades.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Clean slumping cone in preparation fo</w:t>
            </w:r>
            <w:r w:rsidRPr="00FD3D00">
              <w:t>r slump testing.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Conduct slump test.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Take sample of concrete in accordance with relevant Australian Standard and test for consistency, directly from the delivery truck and after discharge of initial 0.2 cubic metres.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Level off slumping cone and clear surplus concrete from steel plate and slumping cone.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Raise slumping cone without moving sample.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Measure sample for conformity with tolerance levels and carry out re-sampling when sample is outside tolerance.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Record collapsed or sheared samples and communicate results to relevant persons.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Clear work area and dispose of, reuse or recycle materials in accordance with regulatory and workplace requirements.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00" w:rsidP="00FD3D00">
            <w:pPr>
              <w:pStyle w:val="BodyText"/>
            </w:pPr>
            <w:r w:rsidRPr="00FD3D00">
              <w:t>Clean, check, maintain and store tools and equipment in accordance with manufacturer and workplace requirements.</w:t>
            </w:r>
          </w:p>
        </w:tc>
      </w:tr>
    </w:tbl>
    <w:p w:rsidR="00000000" w:rsidRPr="00FD3D00" w:rsidP="00FD3D00">
      <w:pPr>
        <w:pStyle w:val="BodyText"/>
      </w:pPr>
    </w:p>
    <w:p w:rsidR="00000000" w:rsidRPr="00FD3D00" w:rsidP="00FD3D00">
      <w:pPr>
        <w:pStyle w:val="AllowPageBreak"/>
      </w:pPr>
    </w:p>
    <w:p w:rsidR="00000000" w:rsidRPr="00FD3D00" w:rsidP="00FD3D00">
      <w:pPr>
        <w:pStyle w:val="Heading1"/>
      </w:pPr>
      <w:bookmarkStart w:id="6" w:name="O_1293297"/>
      <w:bookmarkEnd w:id="6"/>
      <w:r w:rsidRPr="00FD3D00">
        <w:t>Foundation Skills</w:t>
      </w:r>
    </w:p>
    <w:p w:rsidR="00000000" w:rsidRPr="00FD3D00" w:rsidP="00BA0B16">
      <w:pPr>
        <w:pStyle w:val="BodyText"/>
      </w:pPr>
      <w:r w:rsidRPr="00FD3D00">
        <w:t xml:space="preserve">Foundation skills essential to performance are explicit in the performance criteria of this unit of competency. </w:t>
      </w:r>
    </w:p>
    <w:p w:rsidR="00000000" w:rsidRPr="00FD3D00" w:rsidP="00FD3D00">
      <w:pPr>
        <w:pStyle w:val="Heading1"/>
      </w:pPr>
      <w:bookmarkStart w:id="7" w:name="O_1293296"/>
      <w:bookmarkEnd w:id="7"/>
      <w:r w:rsidRPr="00FD3D00">
        <w:t>Unit Mapping Information</w:t>
      </w:r>
    </w:p>
    <w:p w:rsidR="00000000" w:rsidRPr="00FD3D00" w:rsidP="00BA0B16">
      <w:pPr>
        <w:pStyle w:val="BodyText"/>
      </w:pPr>
      <w:r w:rsidRPr="00FD3D00">
        <w:t>Supersedes and is equivalent to CPCCCO3053 Slump test concrete.</w:t>
      </w:r>
    </w:p>
    <w:p w:rsidR="00000000" w:rsidRPr="00FD3D00" w:rsidP="00FD3D00">
      <w:pPr>
        <w:pStyle w:val="Heading1"/>
      </w:pPr>
      <w:bookmarkStart w:id="8" w:name="O_1293311"/>
      <w:bookmarkEnd w:id="8"/>
      <w:r w:rsidRPr="00FD3D00">
        <w:t>Links</w:t>
      </w:r>
    </w:p>
    <w:p w:rsidR="00000000" w:rsidRPr="00FD3D00" w:rsidP="00BA0B16">
      <w:pPr>
        <w:pStyle w:val="BodyText"/>
      </w:pPr>
      <w:r w:rsidRPr="00FD3D00">
        <w:t xml:space="preserve">Companion </w:t>
      </w:r>
      <w:r w:rsidRPr="00FD3D00">
        <w:t xml:space="preserve">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71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3D00" w:rsidP="00BA0B16">
      <w:pPr>
        <w:pStyle w:val="BodyText"/>
        <w:sectPr w:rsidSect="00FD3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D00" w:rsidP="00FD3D00">
      <w:pPr>
        <w:pStyle w:val="SuperHeading"/>
      </w:pPr>
      <w:r w:rsidRPr="00FD3D00">
        <w:t>Assessment Requirements for CPCCON3053 Slump-test con</w:t>
      </w:r>
      <w:r w:rsidRPr="00FD3D00">
        <w:t>crete</w:t>
      </w:r>
    </w:p>
    <w:p w:rsidR="00000000" w:rsidRPr="00FD3D00" w:rsidP="00FD3D00">
      <w:pPr>
        <w:pStyle w:val="Heading1"/>
      </w:pPr>
      <w:bookmarkStart w:id="9" w:name="O_1293291"/>
      <w:bookmarkEnd w:id="9"/>
      <w:r w:rsidRPr="00FD3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6663"/>
      </w:tblGrid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Updated reference to general construction induction training program.</w:t>
            </w:r>
          </w:p>
        </w:tc>
      </w:tr>
      <w:tr w:rsidTr="00FD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00">
            <w:pPr>
              <w:pStyle w:val="BodyText"/>
              <w:rPr>
                <w:lang w:val="en-NZ"/>
              </w:rPr>
            </w:pPr>
            <w:r w:rsidRPr="00FD3D00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00" w:rsidP="00FD3D00">
            <w:pPr>
              <w:pStyle w:val="BodyText"/>
            </w:pPr>
            <w:r w:rsidRPr="00FD3D00">
              <w:t>This version first released with CPC Construction, Plumbing and Services Training Package Release 5.0.</w:t>
            </w:r>
          </w:p>
          <w:p w:rsidR="00000000" w:rsidRPr="00FD3D00" w:rsidP="00FD3D00">
            <w:pPr>
              <w:pStyle w:val="BodyText"/>
            </w:pPr>
            <w:r w:rsidRPr="00FD3D00">
              <w:t>Supersedes and is equivalent to CPCCCO3053 Slump test concrete.</w:t>
            </w:r>
          </w:p>
        </w:tc>
      </w:tr>
    </w:tbl>
    <w:p w:rsidR="00000000" w:rsidRPr="00FD3D00" w:rsidP="00FD3D00">
      <w:pPr>
        <w:pStyle w:val="BodyText"/>
      </w:pPr>
    </w:p>
    <w:p w:rsidR="00000000" w:rsidRPr="00FD3D00" w:rsidP="00FD3D00">
      <w:pPr>
        <w:pStyle w:val="AllowPageBreak"/>
      </w:pPr>
    </w:p>
    <w:p w:rsidR="00000000" w:rsidRPr="00FD3D00" w:rsidP="00FD3D00">
      <w:pPr>
        <w:pStyle w:val="Heading1"/>
      </w:pPr>
      <w:bookmarkStart w:id="10" w:name="O_1293289"/>
      <w:bookmarkEnd w:id="10"/>
      <w:r w:rsidRPr="00FD3D00">
        <w:t>Performance Evidence</w:t>
      </w:r>
    </w:p>
    <w:p w:rsidR="00000000" w:rsidRPr="00FD3D00" w:rsidP="00BA0B16">
      <w:pPr>
        <w:pStyle w:val="BodyText"/>
      </w:pPr>
      <w:r w:rsidRPr="00FD3D00">
        <w:t>To demonstrate competency, a candidate must meet the elements and performance criteria of this unit by slump-testing two different concrete samples to</w:t>
      </w:r>
      <w:r w:rsidRPr="00FD3D00">
        <w:t xml:space="preserve"> determine if the mix is workable and complies with the delivery docket and specified order:</w:t>
      </w:r>
    </w:p>
    <w:p w:rsidR="00000000" w:rsidRPr="00FD3D00" w:rsidP="00FD3D00">
      <w:pPr>
        <w:pStyle w:val="ListBullet"/>
      </w:pPr>
      <w:r w:rsidRPr="00FD3D00">
        <w:t>80 slump plus or minus 15</w:t>
      </w:r>
    </w:p>
    <w:p w:rsidR="00000000" w:rsidRPr="00FD3D00" w:rsidP="00FD3D00">
      <w:pPr>
        <w:pStyle w:val="ListBullet"/>
      </w:pPr>
      <w:r w:rsidRPr="00FD3D00">
        <w:t>100 slump plus or minus 20.</w:t>
      </w:r>
    </w:p>
    <w:p w:rsidR="00000000" w:rsidRPr="00FD3D00" w:rsidP="00FD3D00">
      <w:pPr>
        <w:pStyle w:val="AllowPageBreak"/>
      </w:pPr>
    </w:p>
    <w:p w:rsidR="00000000" w:rsidRPr="00FD3D00" w:rsidP="00FD3D00">
      <w:pPr>
        <w:pStyle w:val="Heading1"/>
      </w:pPr>
      <w:bookmarkStart w:id="11" w:name="O_1293287"/>
      <w:bookmarkEnd w:id="11"/>
      <w:r w:rsidRPr="00FD3D00">
        <w:t>Knowledge Evidence</w:t>
      </w:r>
    </w:p>
    <w:p w:rsidR="00000000" w:rsidRPr="00FD3D00" w:rsidP="00BA0B16">
      <w:pPr>
        <w:pStyle w:val="BodyText"/>
      </w:pPr>
      <w:r w:rsidRPr="00FD3D00">
        <w:t>To</w:t>
      </w:r>
      <w:r w:rsidRPr="00FD3D00">
        <w:t xml:space="preserve"> be competent in this unit, a candidate must demonstrate knowledge of:</w:t>
      </w:r>
    </w:p>
    <w:p w:rsidR="00000000" w:rsidRPr="00FD3D00" w:rsidP="00FD3D00">
      <w:pPr>
        <w:pStyle w:val="ListBullet"/>
      </w:pPr>
      <w:r w:rsidRPr="00FD3D00">
        <w:t>compliance requirements of legislation, regulations, codes and Australian Standards relevant to slump-testing:</w:t>
      </w:r>
    </w:p>
    <w:p w:rsidR="00000000" w:rsidRPr="00FD3D00" w:rsidP="00FD3D00">
      <w:pPr>
        <w:pStyle w:val="ListBullet2"/>
      </w:pPr>
      <w:r w:rsidRPr="00FD3D00">
        <w:t>environmental protection and waste disposal</w:t>
      </w:r>
    </w:p>
    <w:p w:rsidR="00000000" w:rsidRPr="00FD3D00" w:rsidP="00FD3D00">
      <w:pPr>
        <w:pStyle w:val="ListBullet2"/>
      </w:pPr>
      <w:r w:rsidRPr="00FD3D00">
        <w:t xml:space="preserve">methods of testing concrete </w:t>
      </w:r>
      <w:r w:rsidRPr="00FD3D00">
        <w:t>in accordance with the current Australian Standard for determining properties related to the consistency of concrete – slump flow, T500 and J-ring test</w:t>
      </w:r>
    </w:p>
    <w:p w:rsidR="00000000" w:rsidRPr="00FD3D00" w:rsidP="00FD3D00">
      <w:pPr>
        <w:pStyle w:val="ListBullet2"/>
      </w:pPr>
      <w:r w:rsidRPr="00FD3D00">
        <w:t>work health and safety (WHS)</w:t>
      </w:r>
    </w:p>
    <w:p w:rsidR="00000000" w:rsidRPr="00FD3D00" w:rsidP="00FD3D00">
      <w:pPr>
        <w:pStyle w:val="ListBullet"/>
      </w:pPr>
      <w:r w:rsidRPr="00FD3D00">
        <w:t>health risks associated with silica dust exposure</w:t>
      </w:r>
    </w:p>
    <w:p w:rsidR="00000000" w:rsidRPr="00FD3D00" w:rsidP="00FD3D00">
      <w:pPr>
        <w:pStyle w:val="ListBullet"/>
      </w:pPr>
      <w:r w:rsidRPr="00FD3D00">
        <w:t>purpose and importance o</w:t>
      </w:r>
      <w:r w:rsidRPr="00FD3D00">
        <w:t>f slump-testing and the impact to concrete strength and durability of adding water on site:</w:t>
      </w:r>
    </w:p>
    <w:p w:rsidR="00000000" w:rsidRPr="00FD3D00" w:rsidP="00FD3D00">
      <w:pPr>
        <w:pStyle w:val="ListBullet2"/>
      </w:pPr>
      <w:r w:rsidRPr="00FD3D00">
        <w:t>drying, shrinkage</w:t>
      </w:r>
    </w:p>
    <w:p w:rsidR="00000000" w:rsidRPr="00FD3D00" w:rsidP="00FD3D00">
      <w:pPr>
        <w:pStyle w:val="ListBullet2"/>
      </w:pPr>
      <w:r w:rsidRPr="00FD3D00">
        <w:t>early age strength</w:t>
      </w:r>
    </w:p>
    <w:p w:rsidR="00000000" w:rsidRPr="00FD3D00" w:rsidP="00FD3D00">
      <w:pPr>
        <w:pStyle w:val="ListBullet2"/>
      </w:pPr>
      <w:r w:rsidRPr="00FD3D00">
        <w:t>density</w:t>
      </w:r>
    </w:p>
    <w:p w:rsidR="00000000" w:rsidRPr="00FD3D00" w:rsidP="00FD3D00">
      <w:pPr>
        <w:pStyle w:val="ListBullet2"/>
      </w:pPr>
      <w:r w:rsidRPr="00FD3D00">
        <w:t>cracking</w:t>
      </w:r>
    </w:p>
    <w:p w:rsidR="00000000" w:rsidRPr="00FD3D00" w:rsidP="00FD3D00">
      <w:pPr>
        <w:pStyle w:val="ListBullet2"/>
      </w:pPr>
      <w:r w:rsidRPr="00FD3D00">
        <w:t>discolouration</w:t>
      </w:r>
    </w:p>
    <w:p w:rsidR="00000000" w:rsidRPr="00FD3D00" w:rsidP="00FD3D00">
      <w:pPr>
        <w:pStyle w:val="ListBullet"/>
      </w:pPr>
      <w:r w:rsidRPr="00FD3D00">
        <w:t>specifications used to interpret slump tolerance levels and conformance</w:t>
      </w:r>
    </w:p>
    <w:p w:rsidR="00000000" w:rsidRPr="00FD3D00" w:rsidP="00FD3D00">
      <w:pPr>
        <w:pStyle w:val="ListBullet"/>
      </w:pPr>
      <w:r w:rsidRPr="00FD3D00">
        <w:t>techniques for conducting slump tests</w:t>
      </w:r>
    </w:p>
    <w:p w:rsidR="00000000" w:rsidRPr="00FD3D00" w:rsidP="00FD3D00">
      <w:pPr>
        <w:pStyle w:val="ListBullet"/>
      </w:pPr>
      <w:r w:rsidRPr="00FD3D00">
        <w:t>tools and equipment used for slump-testing concrete:</w:t>
      </w:r>
    </w:p>
    <w:p w:rsidR="00000000" w:rsidRPr="00FD3D00" w:rsidP="00FD3D00">
      <w:pPr>
        <w:pStyle w:val="ListBullet2"/>
      </w:pPr>
      <w:r w:rsidRPr="00FD3D00">
        <w:t>bullet-nosed rod (600 mm x 16 mm)</w:t>
      </w:r>
    </w:p>
    <w:p w:rsidR="00000000" w:rsidRPr="00FD3D00" w:rsidP="00FD3D00">
      <w:pPr>
        <w:pStyle w:val="ListBullet2"/>
      </w:pPr>
      <w:r w:rsidRPr="00FD3D00">
        <w:t>sampling scoops</w:t>
      </w:r>
    </w:p>
    <w:p w:rsidR="00000000" w:rsidRPr="00FD3D00" w:rsidP="00FD3D00">
      <w:pPr>
        <w:pStyle w:val="ListBullet2"/>
      </w:pPr>
      <w:r w:rsidRPr="00FD3D00">
        <w:t>standard slump cones</w:t>
      </w:r>
    </w:p>
    <w:p w:rsidR="00000000" w:rsidRPr="00FD3D00" w:rsidP="00FD3D00">
      <w:pPr>
        <w:pStyle w:val="ListBullet2"/>
      </w:pPr>
      <w:r w:rsidRPr="00FD3D00">
        <w:t>steel rule</w:t>
      </w:r>
    </w:p>
    <w:p w:rsidR="00000000" w:rsidRPr="00FD3D00" w:rsidP="00FD3D00">
      <w:pPr>
        <w:pStyle w:val="ListBullet2"/>
      </w:pPr>
      <w:r w:rsidRPr="00FD3D00">
        <w:t>steel slump plate (500 mm x 500 mm)</w:t>
      </w:r>
    </w:p>
    <w:p w:rsidR="00000000" w:rsidRPr="00FD3D00" w:rsidP="00FD3D00">
      <w:pPr>
        <w:pStyle w:val="ListBullet2"/>
      </w:pPr>
      <w:r w:rsidRPr="00FD3D00">
        <w:t>steel rod</w:t>
      </w:r>
    </w:p>
    <w:p w:rsidR="00000000" w:rsidRPr="00FD3D00" w:rsidP="00FD3D00">
      <w:pPr>
        <w:pStyle w:val="ListBullet"/>
      </w:pPr>
      <w:r w:rsidRPr="00FD3D00">
        <w:t>workplace requirements for slump-te</w:t>
      </w:r>
      <w:r w:rsidRPr="00FD3D00">
        <w:t>sting concrete:</w:t>
      </w:r>
    </w:p>
    <w:p w:rsidR="00000000" w:rsidRPr="00FD3D00" w:rsidP="00FD3D00">
      <w:pPr>
        <w:pStyle w:val="ListBullet2"/>
      </w:pPr>
      <w:r w:rsidRPr="00FD3D00">
        <w:t>cleaning up the work area</w:t>
      </w:r>
    </w:p>
    <w:p w:rsidR="00000000" w:rsidRPr="00FD3D00" w:rsidP="00FD3D00">
      <w:pPr>
        <w:pStyle w:val="ListBullet2"/>
      </w:pPr>
      <w:r w:rsidRPr="00FD3D00">
        <w:t>maintaining and storing tools and equipment</w:t>
      </w:r>
    </w:p>
    <w:p w:rsidR="00000000" w:rsidRPr="00FD3D00" w:rsidP="00FD3D00">
      <w:pPr>
        <w:pStyle w:val="ListBullet2"/>
      </w:pPr>
      <w:r w:rsidRPr="00FD3D00">
        <w:t>quality</w:t>
      </w:r>
    </w:p>
    <w:p w:rsidR="00000000" w:rsidRPr="00FD3D00" w:rsidP="00FD3D00">
      <w:pPr>
        <w:pStyle w:val="ListBullet2"/>
      </w:pPr>
      <w:r w:rsidRPr="00FD3D00">
        <w:t>reporting problems</w:t>
      </w:r>
    </w:p>
    <w:p w:rsidR="00000000" w:rsidRPr="00FD3D00" w:rsidP="00FD3D00">
      <w:pPr>
        <w:pStyle w:val="ListBullet2"/>
      </w:pPr>
      <w:r w:rsidRPr="00FD3D00">
        <w:t>safety requirements, including personal protective equipment (PPE).</w:t>
      </w:r>
    </w:p>
    <w:p w:rsidR="00000000" w:rsidRPr="00FD3D00" w:rsidP="00FD3D00">
      <w:pPr>
        <w:pStyle w:val="AllowPageBreak"/>
      </w:pPr>
    </w:p>
    <w:p w:rsidR="00000000" w:rsidRPr="00FD3D00" w:rsidP="00FD3D00">
      <w:pPr>
        <w:pStyle w:val="Heading1"/>
      </w:pPr>
      <w:bookmarkStart w:id="12" w:name="O_1293286"/>
      <w:bookmarkEnd w:id="12"/>
      <w:r w:rsidRPr="00FD3D00">
        <w:t>Assessment Conditions</w:t>
      </w:r>
    </w:p>
    <w:p w:rsidR="00000000" w:rsidRPr="00FD3D00" w:rsidP="00BA0B16">
      <w:pPr>
        <w:pStyle w:val="BodyText"/>
      </w:pPr>
      <w:r w:rsidRPr="00FD3D00">
        <w:t xml:space="preserve">Assessors must meet the requirements for assessors contained in the Standards for Registered Training Organisations. </w:t>
      </w:r>
    </w:p>
    <w:p w:rsidR="00000000" w:rsidRPr="00FD3D00" w:rsidP="00BA0B16">
      <w:pPr>
        <w:pStyle w:val="BodyText"/>
      </w:pPr>
      <w:r w:rsidRPr="00FD3D00">
        <w:t>Assessment must be conducted in the workplace or a simulated workplace using realistic conditions, materials, activities, responsibilities</w:t>
      </w:r>
      <w:r w:rsidRPr="00FD3D00">
        <w:t>, procedures, safety requirements and environmental considerations.</w:t>
      </w:r>
    </w:p>
    <w:p w:rsidR="00000000" w:rsidRPr="00FD3D00" w:rsidP="00BA0B16">
      <w:pPr>
        <w:pStyle w:val="BodyText"/>
      </w:pPr>
      <w:r w:rsidRPr="00FD3D00">
        <w:t>Candidates must have access to documentation, specifications, materials, tools and equipment required to achieve the performance criteria and performance evidence.</w:t>
      </w:r>
    </w:p>
    <w:p w:rsidR="00000000" w:rsidRPr="00FD3D00" w:rsidP="00FD3D00">
      <w:pPr>
        <w:pStyle w:val="Heading1"/>
      </w:pPr>
      <w:bookmarkStart w:id="13" w:name="O_1293313"/>
      <w:bookmarkEnd w:id="13"/>
      <w:r w:rsidRPr="00FD3D00">
        <w:t>Links</w:t>
      </w:r>
    </w:p>
    <w:p w:rsidR="00000000" w:rsidRPr="00FD3D00" w:rsidP="00BA0B16">
      <w:pPr>
        <w:pStyle w:val="BodyText"/>
      </w:pPr>
      <w:r w:rsidRPr="00FD3D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71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3D00" w:rsidP="00FD3D00"/>
    <w:sectPr w:rsidSect="00FD3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00" w:rsidRPr="00BA0B16" w:rsidP="00BA0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16" w:rsidP="00FD3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B16" w:rsidP="00FD3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A0B16" w:rsidP="00FD3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00" w:rsidP="00FD3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0B16">
      <w:t>Approved</w:t>
    </w:r>
    <w:r w:rsidR="00BA0B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0B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0B16">
      <w:rPr>
        <w:noProof/>
      </w:rPr>
      <w:t>4</w:t>
    </w:r>
    <w:r>
      <w:rPr>
        <w:noProof/>
      </w:rPr>
      <w:fldChar w:fldCharType="end"/>
    </w:r>
  </w:p>
  <w:p w:rsidR="00FD3D00" w:rsidP="00FD3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0B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0B16">
      <w:t>BuildSkills Australia</w:t>
    </w:r>
    <w:r w:rsidR="00BA0B16">
      <w:fldChar w:fldCharType="end"/>
    </w:r>
  </w:p>
  <w:p w:rsidR="00FD3D00" w:rsidP="00FD3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D00" w:rsidRPr="00BA0B16" w:rsidP="00BA0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16" w:rsidRPr="002D2AF8" w:rsidP="00FD3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CPCCON3053 Slump-test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0B16" w:rsidP="00FD3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00" w:rsidRPr="002D2AF8" w:rsidP="00FD3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0B16">
      <w:t>CPCCON3053 Slump-test concrete</w:t>
    </w:r>
    <w:r w:rsidR="00BA0B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0B16">
      <w:rPr>
        <w:noProof/>
      </w:rPr>
      <w:t>2 March 2025</w:t>
    </w:r>
    <w:r>
      <w:fldChar w:fldCharType="end"/>
    </w:r>
  </w:p>
  <w:p w:rsidR="00FD3D00" w:rsidP="00FD3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0B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7E6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25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D00"/>
  </w:style>
  <w:style w:type="character" w:customStyle="1" w:styleId="Heading1Char">
    <w:name w:val="Heading 1 Char"/>
    <w:basedOn w:val="DefaultParagraphFont"/>
    <w:link w:val="Heading1"/>
    <w:rsid w:val="00FD3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D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D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3D00"/>
    <w:rPr>
      <w:i/>
    </w:rPr>
  </w:style>
  <w:style w:type="paragraph" w:customStyle="1" w:styleId="SuperHeading">
    <w:name w:val="SuperHeading"/>
    <w:basedOn w:val="Normal"/>
    <w:rsid w:val="00FD3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D00"/>
    <w:rPr>
      <w:b/>
      <w:spacing w:val="0"/>
    </w:rPr>
  </w:style>
  <w:style w:type="paragraph" w:customStyle="1" w:styleId="SuperTitle">
    <w:name w:val="SuperTitle"/>
    <w:basedOn w:val="Title"/>
    <w:rsid w:val="00FD3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D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D00"/>
  </w:style>
  <w:style w:type="paragraph" w:styleId="TableofFigures">
    <w:name w:val="table of figures"/>
    <w:basedOn w:val="Normal"/>
    <w:next w:val="Normal"/>
    <w:semiHidden/>
    <w:rsid w:val="00FD3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D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D00"/>
    <w:rPr>
      <w:rFonts w:ascii="Wingdings" w:hAnsi="Wingdings"/>
    </w:rPr>
  </w:style>
  <w:style w:type="paragraph" w:customStyle="1" w:styleId="TableHeading">
    <w:name w:val="Table Heading"/>
    <w:basedOn w:val="HeadingBase"/>
    <w:rsid w:val="00FD3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D00"/>
    <w:rPr>
      <w:color w:val="0033CC"/>
      <w:u w:val="none"/>
    </w:rPr>
  </w:style>
  <w:style w:type="paragraph" w:customStyle="1" w:styleId="BodyTextRight">
    <w:name w:val="Body Text Right"/>
    <w:basedOn w:val="BodyText"/>
    <w:rsid w:val="00FD3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D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D00"/>
    <w:rPr>
      <w:sz w:val="32"/>
    </w:rPr>
  </w:style>
  <w:style w:type="paragraph" w:customStyle="1" w:styleId="HeadingProcedure">
    <w:name w:val="Heading Procedure"/>
    <w:basedOn w:val="HeadingBase"/>
    <w:next w:val="Normal"/>
    <w:rsid w:val="00FD3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D00"/>
    <w:pPr>
      <w:spacing w:before="60" w:after="60"/>
    </w:pPr>
  </w:style>
  <w:style w:type="paragraph" w:styleId="ListContinue">
    <w:name w:val="List Continue"/>
    <w:basedOn w:val="List"/>
    <w:rsid w:val="00FD3D00"/>
    <w:pPr>
      <w:ind w:firstLine="0"/>
    </w:pPr>
  </w:style>
  <w:style w:type="paragraph" w:customStyle="1" w:styleId="ListNote">
    <w:name w:val="List Note"/>
    <w:basedOn w:val="List"/>
    <w:rsid w:val="00FD3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D00"/>
    <w:rPr>
      <w:rFonts w:ascii="Courier New" w:hAnsi="Courier New"/>
    </w:rPr>
  </w:style>
  <w:style w:type="paragraph" w:customStyle="1" w:styleId="NoteBullet">
    <w:name w:val="Note Bullet"/>
    <w:basedOn w:val="Note"/>
    <w:rsid w:val="00FD3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D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D00"/>
    <w:rPr>
      <w:b/>
      <w:smallCaps/>
    </w:rPr>
  </w:style>
  <w:style w:type="paragraph" w:customStyle="1" w:styleId="TableListNumber">
    <w:name w:val="Table List Number"/>
    <w:basedOn w:val="ListNumber"/>
    <w:rsid w:val="00FD3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D00"/>
    <w:pPr>
      <w:numPr>
        <w:numId w:val="9"/>
      </w:numPr>
    </w:pPr>
  </w:style>
  <w:style w:type="paragraph" w:customStyle="1" w:styleId="ListAlpha2">
    <w:name w:val="List Alpha 2"/>
    <w:basedOn w:val="List2"/>
    <w:rsid w:val="00FD3D00"/>
    <w:pPr>
      <w:numPr>
        <w:numId w:val="8"/>
      </w:numPr>
    </w:pPr>
  </w:style>
  <w:style w:type="paragraph" w:styleId="List2">
    <w:name w:val="List 2"/>
    <w:basedOn w:val="BodyText"/>
    <w:rsid w:val="00FD3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D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D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D00"/>
    <w:pPr>
      <w:numPr>
        <w:numId w:val="4"/>
      </w:numPr>
    </w:pPr>
  </w:style>
  <w:style w:type="paragraph" w:styleId="ListContinue2">
    <w:name w:val="List Continue 2"/>
    <w:basedOn w:val="List2"/>
    <w:rsid w:val="00FD3D00"/>
    <w:pPr>
      <w:ind w:firstLine="0"/>
    </w:pPr>
  </w:style>
  <w:style w:type="paragraph" w:styleId="ListContinue3">
    <w:name w:val="List Continue 3"/>
    <w:basedOn w:val="List3"/>
    <w:rsid w:val="00FD3D00"/>
    <w:pPr>
      <w:ind w:left="1021" w:firstLine="0"/>
    </w:pPr>
  </w:style>
  <w:style w:type="paragraph" w:styleId="ListContinue4">
    <w:name w:val="List Continue 4"/>
    <w:basedOn w:val="List4"/>
    <w:rsid w:val="00FD3D00"/>
    <w:pPr>
      <w:ind w:firstLine="0"/>
    </w:pPr>
  </w:style>
  <w:style w:type="paragraph" w:styleId="ListContinue5">
    <w:name w:val="List Continue 5"/>
    <w:basedOn w:val="List5"/>
    <w:rsid w:val="00FD3D00"/>
    <w:pPr>
      <w:ind w:firstLine="0"/>
    </w:pPr>
  </w:style>
  <w:style w:type="paragraph" w:styleId="ListNumber3">
    <w:name w:val="List Number 3"/>
    <w:basedOn w:val="List3"/>
    <w:rsid w:val="00FD3D00"/>
    <w:pPr>
      <w:numPr>
        <w:numId w:val="5"/>
      </w:numPr>
    </w:pPr>
  </w:style>
  <w:style w:type="paragraph" w:styleId="ListNumber4">
    <w:name w:val="List Number 4"/>
    <w:basedOn w:val="List4"/>
    <w:rsid w:val="00FD3D00"/>
    <w:pPr>
      <w:numPr>
        <w:numId w:val="6"/>
      </w:numPr>
    </w:pPr>
  </w:style>
  <w:style w:type="paragraph" w:styleId="ListNumber5">
    <w:name w:val="List Number 5"/>
    <w:basedOn w:val="List5"/>
    <w:rsid w:val="00FD3D00"/>
    <w:pPr>
      <w:numPr>
        <w:numId w:val="7"/>
      </w:numPr>
    </w:pPr>
  </w:style>
  <w:style w:type="paragraph" w:styleId="BlockText">
    <w:name w:val="Block Text"/>
    <w:basedOn w:val="Normal"/>
    <w:rsid w:val="00FD3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D00"/>
    <w:rPr>
      <w:sz w:val="16"/>
      <w:vertAlign w:val="superscript"/>
    </w:rPr>
  </w:style>
  <w:style w:type="character" w:customStyle="1" w:styleId="Symbols">
    <w:name w:val="Symbols"/>
    <w:basedOn w:val="DefaultParagraphFont"/>
    <w:rsid w:val="00FD3D00"/>
    <w:rPr>
      <w:rFonts w:ascii="Symbol" w:hAnsi="Symbol"/>
    </w:rPr>
  </w:style>
  <w:style w:type="character" w:customStyle="1" w:styleId="MenuOptions">
    <w:name w:val="Menu Options"/>
    <w:basedOn w:val="DefaultParagraphFont"/>
    <w:rsid w:val="00FD3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D00"/>
    <w:rPr>
      <w:b/>
    </w:rPr>
  </w:style>
  <w:style w:type="character" w:customStyle="1" w:styleId="Underlined">
    <w:name w:val="Underlined"/>
    <w:basedOn w:val="DefaultParagraphFont"/>
    <w:rsid w:val="00FD3D00"/>
    <w:rPr>
      <w:u w:val="single"/>
    </w:rPr>
  </w:style>
  <w:style w:type="paragraph" w:customStyle="1" w:styleId="TableBodyTextRight">
    <w:name w:val="Table Body Text Right"/>
    <w:basedOn w:val="TableBodyText"/>
    <w:rsid w:val="00FD3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D00"/>
    <w:rPr>
      <w:sz w:val="18"/>
    </w:rPr>
  </w:style>
  <w:style w:type="paragraph" w:customStyle="1" w:styleId="BodySmallRight">
    <w:name w:val="Body Small Right"/>
    <w:basedOn w:val="BodyTextRight"/>
    <w:rsid w:val="00FD3D00"/>
    <w:rPr>
      <w:sz w:val="18"/>
      <w:szCs w:val="18"/>
    </w:rPr>
  </w:style>
  <w:style w:type="paragraph" w:customStyle="1" w:styleId="MarginEdition">
    <w:name w:val="Margin Edition"/>
    <w:basedOn w:val="MarginNote"/>
    <w:rsid w:val="00FD3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D00"/>
    <w:rPr>
      <w:sz w:val="2"/>
      <w:szCs w:val="2"/>
    </w:rPr>
  </w:style>
  <w:style w:type="character" w:customStyle="1" w:styleId="Small">
    <w:name w:val="Small"/>
    <w:basedOn w:val="DefaultParagraphFont"/>
    <w:rsid w:val="00FD3D00"/>
    <w:rPr>
      <w:sz w:val="16"/>
    </w:rPr>
  </w:style>
  <w:style w:type="paragraph" w:customStyle="1" w:styleId="WideTable">
    <w:name w:val="Wide Table"/>
    <w:basedOn w:val="Normal"/>
    <w:rsid w:val="00FD3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D00"/>
  </w:style>
  <w:style w:type="paragraph" w:styleId="Quote">
    <w:name w:val="Quote"/>
    <w:basedOn w:val="Heading1"/>
    <w:link w:val="QuoteChar"/>
    <w:qFormat/>
    <w:rsid w:val="00FD3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D00"/>
    <w:pPr>
      <w:pageBreakBefore/>
    </w:pPr>
  </w:style>
  <w:style w:type="paragraph" w:customStyle="1" w:styleId="Border">
    <w:name w:val="Border"/>
    <w:basedOn w:val="Normal"/>
    <w:qFormat/>
    <w:rsid w:val="00FD3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D00"/>
    <w:rPr>
      <w:u w:val="single"/>
    </w:rPr>
  </w:style>
  <w:style w:type="character" w:customStyle="1" w:styleId="BoldandItalics">
    <w:name w:val="Bold and Italics"/>
    <w:qFormat/>
    <w:rsid w:val="00FD3D00"/>
    <w:rPr>
      <w:b/>
      <w:i/>
      <w:u w:val="none"/>
    </w:rPr>
  </w:style>
  <w:style w:type="paragraph" w:styleId="BalloonText">
    <w:name w:val="Balloon Text"/>
    <w:basedOn w:val="Normal"/>
    <w:link w:val="BalloonTextChar"/>
    <w:rsid w:val="00FD3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D00"/>
    <w:pPr>
      <w:spacing w:before="0" w:after="0"/>
    </w:pPr>
  </w:style>
  <w:style w:type="paragraph" w:customStyle="1" w:styleId="BodyTextBold">
    <w:name w:val="Body Text Bold"/>
    <w:basedOn w:val="BodyText"/>
    <w:qFormat/>
    <w:rsid w:val="00FD3D00"/>
    <w:rPr>
      <w:b/>
    </w:rPr>
  </w:style>
  <w:style w:type="character" w:styleId="Hyperlink">
    <w:name w:val="Hyperlink"/>
    <w:basedOn w:val="DefaultParagraphFont"/>
    <w:uiPriority w:val="99"/>
    <w:unhideWhenUsed/>
    <w:rsid w:val="00BA0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5444</Characters>
  <Application>Microsoft Office Word</Application>
  <DocSecurity>0</DocSecurity>
  <Lines>201</Lines>
  <Paragraphs>125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CPCCON3053 Slump-test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2025-03-01T13:17:00Z</dcterms:created>
  <dcterms:modified xsi:type="dcterms:W3CDTF">2025-03-01T13:17:00Z</dcterms:modified>
</cp:coreProperties>
</file>