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BA6" w:rsidP="00CC1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CPCCON3052 Conduct concrete boom delivery operations</w:t>
      </w:r>
      <w:r>
        <w:fldChar w:fldCharType="end"/>
      </w:r>
    </w:p>
    <w:p w:rsidR="00CC1BA6" w:rsidP="00CC1BA6">
      <w:pPr>
        <w:pStyle w:val="Version"/>
        <w:sectPr w:rsidSect="00DE5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508A" w:rsidP="00DE508A">
      <w:pPr>
        <w:pStyle w:val="SuperHeading"/>
      </w:pPr>
      <w:r w:rsidRPr="00DE508A">
        <w:t>Assessment Requirements for CPCCON3052 Conduct concrete boom delivery operations</w:t>
      </w:r>
    </w:p>
    <w:p w:rsidR="00000000" w:rsidRPr="00DE508A" w:rsidP="00DE508A">
      <w:pPr>
        <w:pStyle w:val="Heading1"/>
      </w:pPr>
      <w:bookmarkStart w:id="1" w:name="O_1293338"/>
      <w:bookmarkEnd w:id="1"/>
      <w:r w:rsidRPr="00DE50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5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8A">
            <w:pPr>
              <w:pStyle w:val="BodyText"/>
              <w:rPr>
                <w:lang w:val="en-NZ"/>
              </w:rPr>
            </w:pPr>
            <w:r w:rsidRPr="00DE508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8A">
            <w:pPr>
              <w:pStyle w:val="BodyText"/>
              <w:rPr>
                <w:lang w:val="en-NZ"/>
              </w:rPr>
            </w:pPr>
            <w:r w:rsidRPr="00DE508A">
              <w:t>Updated reference to general construction induction training program.</w:t>
            </w:r>
          </w:p>
        </w:tc>
      </w:tr>
      <w:tr w:rsidTr="00DE5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8A">
            <w:pPr>
              <w:pStyle w:val="BodyText"/>
              <w:rPr>
                <w:lang w:val="en-NZ"/>
              </w:rPr>
            </w:pPr>
            <w:r w:rsidRPr="00DE508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8A" w:rsidP="00DE508A">
            <w:pPr>
              <w:pStyle w:val="BodyText"/>
            </w:pPr>
            <w:r w:rsidRPr="00DE508A">
              <w:t>This version first released with CPC Construction, Plumbing and Services Training Package Release 5.0.</w:t>
            </w:r>
          </w:p>
          <w:p w:rsidR="00000000" w:rsidRPr="00DE508A" w:rsidP="00DE508A">
            <w:pPr>
              <w:pStyle w:val="BodyText"/>
            </w:pPr>
            <w:r w:rsidRPr="00DE508A">
              <w:t>Supersedes and is equivalent to CPCCCO3052 Conduct concrete boom delivery operations</w:t>
            </w:r>
          </w:p>
        </w:tc>
      </w:tr>
    </w:tbl>
    <w:p w:rsidR="00000000" w:rsidRPr="00DE508A" w:rsidP="00DE508A">
      <w:pPr>
        <w:pStyle w:val="BodyText"/>
      </w:pPr>
    </w:p>
    <w:p w:rsidR="00000000" w:rsidRPr="00DE508A" w:rsidP="00DE508A">
      <w:pPr>
        <w:pStyle w:val="AllowPageBreak"/>
      </w:pPr>
    </w:p>
    <w:p w:rsidR="00000000" w:rsidRPr="00DE508A" w:rsidP="00DE508A">
      <w:pPr>
        <w:pStyle w:val="Heading1"/>
      </w:pPr>
      <w:bookmarkStart w:id="2" w:name="O_1293336"/>
      <w:bookmarkEnd w:id="2"/>
      <w:r w:rsidRPr="00DE508A">
        <w:t>Performance Evidence</w:t>
      </w:r>
    </w:p>
    <w:p w:rsidR="00000000" w:rsidRPr="00DE508A" w:rsidP="00CC1BA6">
      <w:pPr>
        <w:pStyle w:val="BodyText"/>
      </w:pPr>
      <w:r w:rsidRPr="00DE508A">
        <w:t xml:space="preserve">To demonstrate competency </w:t>
      </w:r>
      <w:r w:rsidRPr="00DE508A">
        <w:t>in this unit, a candidate must meet the elements and performance criteria by conducting concrete boom delivery operations at two different sites.</w:t>
      </w:r>
    </w:p>
    <w:p w:rsidR="00000000" w:rsidRPr="00DE508A" w:rsidP="00DE508A">
      <w:pPr>
        <w:pStyle w:val="Heading1"/>
      </w:pPr>
      <w:bookmarkStart w:id="3" w:name="O_1293335"/>
      <w:bookmarkEnd w:id="3"/>
      <w:r w:rsidRPr="00DE508A">
        <w:t>Knowledge Evidence</w:t>
      </w:r>
    </w:p>
    <w:p w:rsidR="00000000" w:rsidRPr="00DE508A" w:rsidP="00CC1BA6">
      <w:pPr>
        <w:pStyle w:val="BodyText"/>
      </w:pPr>
      <w:r w:rsidRPr="00DE508A">
        <w:t xml:space="preserve">To be competent in this unit, a person must demonstrate knowledge of: </w:t>
      </w:r>
    </w:p>
    <w:p w:rsidR="00000000" w:rsidRPr="00DE508A" w:rsidP="00DE508A">
      <w:pPr>
        <w:pStyle w:val="ListBullet"/>
      </w:pPr>
      <w:r w:rsidRPr="00DE508A">
        <w:t>workplace and regulatory requirements for conducting concrete boom delivery operations under applicable Commonwealth, state or territory work health and safety (WHS) legislation, Australian Standards and codes of practice:</w:t>
      </w:r>
    </w:p>
    <w:p w:rsidR="00000000" w:rsidRPr="00DE508A" w:rsidP="00DE508A">
      <w:pPr>
        <w:pStyle w:val="ListBullet2"/>
      </w:pPr>
      <w:r w:rsidRPr="00DE508A">
        <w:t xml:space="preserve">job safety and environmental analyses (JSEAs) </w:t>
      </w:r>
    </w:p>
    <w:p w:rsidR="00000000" w:rsidRPr="00DE508A" w:rsidP="00DE508A">
      <w:pPr>
        <w:pStyle w:val="ListBullet2"/>
      </w:pPr>
      <w:r w:rsidRPr="00DE508A">
        <w:t>safe work method statements (SWMSs)</w:t>
      </w:r>
    </w:p>
    <w:p w:rsidR="00000000" w:rsidRPr="00DE508A" w:rsidP="00DE508A">
      <w:pPr>
        <w:pStyle w:val="ListBullet2"/>
      </w:pPr>
      <w:r w:rsidRPr="00DE508A">
        <w:t>safety data sheets (SDSs)</w:t>
      </w:r>
    </w:p>
    <w:p w:rsidR="00000000" w:rsidRPr="00DE508A" w:rsidP="00DE508A">
      <w:pPr>
        <w:pStyle w:val="ListBullet2"/>
      </w:pPr>
      <w:r w:rsidRPr="00DE508A">
        <w:t>safety manuals and instructions for plant, tools and equipment</w:t>
      </w:r>
    </w:p>
    <w:p w:rsidR="00000000" w:rsidRPr="00DE508A" w:rsidP="00DE508A">
      <w:pPr>
        <w:pStyle w:val="ListBullet2"/>
      </w:pPr>
      <w:r w:rsidRPr="00DE508A">
        <w:t>signage</w:t>
      </w:r>
    </w:p>
    <w:p w:rsidR="00000000" w:rsidRPr="00DE508A" w:rsidP="00DE508A">
      <w:pPr>
        <w:pStyle w:val="ListBullet2"/>
      </w:pPr>
      <w:r w:rsidRPr="00DE508A">
        <w:t>environmental and work site safety plans</w:t>
      </w:r>
    </w:p>
    <w:p w:rsidR="00000000" w:rsidRPr="00DE508A" w:rsidP="00DE508A">
      <w:pPr>
        <w:pStyle w:val="ListBullet2"/>
      </w:pPr>
      <w:r w:rsidRPr="00DE508A">
        <w:t>workplace and equipment safety requ</w:t>
      </w:r>
      <w:r w:rsidRPr="00DE508A">
        <w:t>irements, including hazard reporting requirements and correct handling of equipment faults</w:t>
      </w:r>
    </w:p>
    <w:p w:rsidR="00000000" w:rsidRPr="00DE508A" w:rsidP="00DE508A">
      <w:pPr>
        <w:pStyle w:val="ListBullet2"/>
      </w:pPr>
      <w:r w:rsidRPr="00DE508A">
        <w:t>reporting problems</w:t>
      </w:r>
    </w:p>
    <w:p w:rsidR="00000000" w:rsidRPr="00DE508A" w:rsidP="00DE508A">
      <w:pPr>
        <w:pStyle w:val="ListBullet"/>
      </w:pPr>
      <w:r w:rsidRPr="00DE508A">
        <w:t>plans and specifications used to interpret requirements for conducting concrete boom delivery operations</w:t>
      </w:r>
    </w:p>
    <w:p w:rsidR="00000000" w:rsidRPr="00DE508A" w:rsidP="00DE508A">
      <w:pPr>
        <w:pStyle w:val="ListBullet"/>
      </w:pPr>
      <w:r w:rsidRPr="00DE508A">
        <w:t xml:space="preserve">characteristics, technical capabilities </w:t>
      </w:r>
      <w:r w:rsidRPr="00DE508A">
        <w:t xml:space="preserve">and limitations of concrete boom delivery vehicle systems: </w:t>
      </w:r>
    </w:p>
    <w:p w:rsidR="00000000" w:rsidRPr="00DE508A" w:rsidP="00DE508A">
      <w:pPr>
        <w:pStyle w:val="ListBullet2"/>
      </w:pPr>
      <w:r w:rsidRPr="00DE508A">
        <w:t>adaptors</w:t>
      </w:r>
    </w:p>
    <w:p w:rsidR="00000000" w:rsidRPr="00DE508A" w:rsidP="00DE508A">
      <w:pPr>
        <w:pStyle w:val="ListBullet2"/>
      </w:pPr>
      <w:r w:rsidRPr="00DE508A">
        <w:t>boom components</w:t>
      </w:r>
    </w:p>
    <w:p w:rsidR="00000000" w:rsidRPr="00DE508A" w:rsidP="00DE508A">
      <w:pPr>
        <w:pStyle w:val="ListBullet2"/>
      </w:pPr>
      <w:r w:rsidRPr="00DE508A">
        <w:t>hoses</w:t>
      </w:r>
    </w:p>
    <w:p w:rsidR="00000000" w:rsidRPr="00DE508A" w:rsidP="00DE508A">
      <w:pPr>
        <w:pStyle w:val="ListBullet2"/>
      </w:pPr>
      <w:r w:rsidRPr="00DE508A">
        <w:t>boom-mounted conveyors</w:t>
      </w:r>
    </w:p>
    <w:p w:rsidR="00000000" w:rsidRPr="00DE508A" w:rsidP="00DE508A">
      <w:pPr>
        <w:pStyle w:val="ListBullet2"/>
      </w:pPr>
      <w:r w:rsidRPr="00DE508A">
        <w:t xml:space="preserve">lines </w:t>
      </w:r>
    </w:p>
    <w:p w:rsidR="00000000" w:rsidRPr="00DE508A" w:rsidP="00DE508A">
      <w:pPr>
        <w:pStyle w:val="ListBullet"/>
      </w:pPr>
      <w:r w:rsidRPr="00DE508A">
        <w:t>concrete boom delivery vehicle systems processes:</w:t>
      </w:r>
    </w:p>
    <w:p w:rsidR="00000000" w:rsidRPr="00DE508A" w:rsidP="00DE508A">
      <w:pPr>
        <w:pStyle w:val="ListBullet2"/>
      </w:pPr>
      <w:r w:rsidRPr="00DE508A">
        <w:t>operational, maintenance and basic diagnostic procedures and use of hand tools</w:t>
      </w:r>
    </w:p>
    <w:p w:rsidR="00000000" w:rsidRPr="00DE508A" w:rsidP="00DE508A">
      <w:pPr>
        <w:pStyle w:val="ListBullet2"/>
      </w:pPr>
      <w:r w:rsidRPr="00DE508A">
        <w:t xml:space="preserve">pumps and pumping system operations </w:t>
      </w:r>
    </w:p>
    <w:p w:rsidR="00000000" w:rsidRPr="00DE508A" w:rsidP="00DE508A">
      <w:pPr>
        <w:pStyle w:val="ListBullet2"/>
      </w:pPr>
      <w:r w:rsidRPr="00DE508A">
        <w:t>safe operating techniques in all terrain</w:t>
      </w:r>
    </w:p>
    <w:p w:rsidR="00000000" w:rsidRPr="00DE508A" w:rsidP="00DE508A">
      <w:pPr>
        <w:pStyle w:val="ListBullet2"/>
      </w:pPr>
      <w:r w:rsidRPr="00DE508A">
        <w:t>boom and line establishment techniques and operation of delivery system</w:t>
      </w:r>
    </w:p>
    <w:p w:rsidR="00000000" w:rsidRPr="00DE508A" w:rsidP="00DE508A">
      <w:pPr>
        <w:pStyle w:val="ListBullet2"/>
      </w:pPr>
      <w:r w:rsidRPr="00DE508A">
        <w:t>construction activity sequences relating to bulk concreting operations</w:t>
      </w:r>
    </w:p>
    <w:p w:rsidR="00000000" w:rsidRPr="00DE508A" w:rsidP="00DE508A">
      <w:pPr>
        <w:pStyle w:val="ListBullet"/>
      </w:pPr>
      <w:r w:rsidRPr="00DE508A">
        <w:t>concrete mixes:</w:t>
      </w:r>
    </w:p>
    <w:p w:rsidR="00000000" w:rsidRPr="00DE508A" w:rsidP="00DE508A">
      <w:pPr>
        <w:pStyle w:val="ListBullet2"/>
      </w:pPr>
      <w:r w:rsidRPr="00DE508A">
        <w:t>block-fill</w:t>
      </w:r>
    </w:p>
    <w:p w:rsidR="00000000" w:rsidRPr="00DE508A" w:rsidP="00DE508A">
      <w:pPr>
        <w:pStyle w:val="ListBullet2"/>
      </w:pPr>
      <w:r w:rsidRPr="00DE508A">
        <w:t>pool-m</w:t>
      </w:r>
      <w:r w:rsidRPr="00DE508A">
        <w:t>ix</w:t>
      </w:r>
    </w:p>
    <w:p w:rsidR="00000000" w:rsidRPr="00DE508A" w:rsidP="00DE508A">
      <w:pPr>
        <w:pStyle w:val="ListBullet2"/>
      </w:pPr>
      <w:r w:rsidRPr="00DE508A">
        <w:t>topping</w:t>
      </w:r>
    </w:p>
    <w:p w:rsidR="00000000" w:rsidRPr="00DE508A" w:rsidP="00DE508A">
      <w:pPr>
        <w:pStyle w:val="ListBullet2"/>
      </w:pPr>
      <w:r w:rsidRPr="00DE508A">
        <w:t>slab</w:t>
      </w:r>
    </w:p>
    <w:p w:rsidR="00000000" w:rsidRPr="00DE508A" w:rsidP="00DE508A">
      <w:pPr>
        <w:pStyle w:val="ListBullet2"/>
      </w:pPr>
      <w:r w:rsidRPr="00DE508A">
        <w:t>footing</w:t>
      </w:r>
    </w:p>
    <w:p w:rsidR="00000000" w:rsidRPr="00DE508A" w:rsidP="00DE508A">
      <w:pPr>
        <w:pStyle w:val="ListBullet2"/>
      </w:pPr>
      <w:r w:rsidRPr="00DE508A">
        <w:t>curb and guttering</w:t>
      </w:r>
    </w:p>
    <w:p w:rsidR="00000000" w:rsidRPr="00DE508A" w:rsidP="00DE508A">
      <w:pPr>
        <w:pStyle w:val="ListBullet"/>
      </w:pPr>
      <w:r w:rsidRPr="00DE508A">
        <w:t xml:space="preserve">site and equipment safety requirements: </w:t>
      </w:r>
    </w:p>
    <w:p w:rsidR="00000000" w:rsidRPr="00DE508A" w:rsidP="00DE508A">
      <w:pPr>
        <w:pStyle w:val="ListBullet2"/>
      </w:pPr>
      <w:r w:rsidRPr="00DE508A">
        <w:t>knowing when and how to activate emergency shut-down procedures</w:t>
      </w:r>
    </w:p>
    <w:p w:rsidR="00000000" w:rsidRPr="00DE508A" w:rsidP="00DE508A">
      <w:pPr>
        <w:pStyle w:val="ListBullet2"/>
      </w:pPr>
      <w:r w:rsidRPr="00DE508A">
        <w:t>overhead safety requirements relating to boom operations</w:t>
      </w:r>
    </w:p>
    <w:p w:rsidR="00000000" w:rsidRPr="00DE508A" w:rsidP="00DE508A">
      <w:pPr>
        <w:pStyle w:val="ListBullet2"/>
      </w:pPr>
      <w:r w:rsidRPr="00DE508A">
        <w:t>site isolation and traffic control responsibilities and authorities</w:t>
      </w:r>
    </w:p>
    <w:p w:rsidR="00000000" w:rsidRPr="00DE508A" w:rsidP="00DE508A">
      <w:pPr>
        <w:pStyle w:val="ListBullet2"/>
      </w:pPr>
      <w:r w:rsidRPr="00DE508A">
        <w:t>requirements for shut down, inspection, minor maintenance and repairs, and regular scheduled maintenance in accordance with manufacturer requirements</w:t>
      </w:r>
    </w:p>
    <w:p w:rsidR="00000000" w:rsidRPr="00DE508A" w:rsidP="00DE508A">
      <w:pPr>
        <w:pStyle w:val="ListBullet"/>
      </w:pPr>
      <w:r w:rsidRPr="00DE508A">
        <w:t>requirements for cleaning up the work</w:t>
      </w:r>
      <w:r w:rsidRPr="00DE508A">
        <w:t xml:space="preserve"> area, vehicle, plant, tools and equipment, and materials storage and environmentally friendly waste management.</w:t>
      </w:r>
    </w:p>
    <w:p w:rsidR="00000000" w:rsidRPr="00DE508A" w:rsidP="00DE508A">
      <w:pPr>
        <w:pStyle w:val="AllowPageBreak"/>
      </w:pPr>
    </w:p>
    <w:p w:rsidR="00000000" w:rsidRPr="00DE508A" w:rsidP="00DE508A">
      <w:pPr>
        <w:pStyle w:val="Heading1"/>
      </w:pPr>
      <w:bookmarkStart w:id="4" w:name="O_1293334"/>
      <w:bookmarkEnd w:id="4"/>
      <w:r w:rsidRPr="00DE508A">
        <w:t>Assessment Conditions</w:t>
      </w:r>
    </w:p>
    <w:p w:rsidR="00000000" w:rsidRPr="00DE508A" w:rsidP="00CC1BA6">
      <w:pPr>
        <w:pStyle w:val="BodyText"/>
      </w:pPr>
      <w:r w:rsidRPr="00DE508A">
        <w:t>Assessors must satisfy the requirements for assessors contained in the Standards for Registered Traini</w:t>
      </w:r>
      <w:r w:rsidRPr="00DE508A">
        <w:t xml:space="preserve">ng Organisations. </w:t>
      </w:r>
    </w:p>
    <w:p w:rsidR="00000000" w:rsidRPr="00DE508A" w:rsidP="00CC1BA6">
      <w:pPr>
        <w:pStyle w:val="BodyText"/>
      </w:pPr>
      <w:r w:rsidRPr="00DE508A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DE508A" w:rsidP="00CC1BA6">
      <w:pPr>
        <w:pStyle w:val="BodyText"/>
      </w:pPr>
      <w:r w:rsidRPr="00DE508A">
        <w:t>Candidates must have access to:</w:t>
      </w:r>
    </w:p>
    <w:p w:rsidR="00000000" w:rsidRPr="00DE508A" w:rsidP="00DE508A">
      <w:pPr>
        <w:pStyle w:val="ListBullet"/>
      </w:pPr>
      <w:r w:rsidRPr="00DE508A">
        <w:t xml:space="preserve">industry-standard equipment required to perform the tasks specified in performance evidence </w:t>
      </w:r>
    </w:p>
    <w:p w:rsidR="00000000" w:rsidRPr="00DE508A" w:rsidP="00DE508A">
      <w:pPr>
        <w:pStyle w:val="ListBullet"/>
      </w:pPr>
      <w:r w:rsidRPr="00DE508A">
        <w:t xml:space="preserve">appropriate workplace information and records, including policies, procedures and legislative requirements. </w:t>
      </w:r>
    </w:p>
    <w:p w:rsidR="00000000" w:rsidRPr="00DE508A" w:rsidP="00DE508A">
      <w:pPr>
        <w:pStyle w:val="AllowPageBreak"/>
      </w:pPr>
    </w:p>
    <w:p w:rsidR="00000000" w:rsidRPr="00DE508A" w:rsidP="00DE508A">
      <w:pPr>
        <w:pStyle w:val="Heading1"/>
      </w:pPr>
      <w:bookmarkStart w:id="5" w:name="O_1293361"/>
      <w:bookmarkEnd w:id="5"/>
      <w:r w:rsidRPr="00DE508A">
        <w:t>Links</w:t>
      </w:r>
    </w:p>
    <w:p w:rsidR="00000000" w:rsidRPr="00DE508A" w:rsidP="00CC1BA6">
      <w:pPr>
        <w:pStyle w:val="BodyText"/>
      </w:pPr>
      <w:r w:rsidRPr="00DE508A">
        <w:t>Companion volumes to this t</w:t>
      </w:r>
      <w:r w:rsidRPr="00DE508A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2A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508A" w:rsidP="00DE508A"/>
    <w:sectPr w:rsidSect="00DE50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8A" w:rsidRPr="00CC1BA6" w:rsidP="00CC1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A6" w:rsidP="00DE5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1BA6" w:rsidP="00DE5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C1BA6" w:rsidP="00DE5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08A" w:rsidRPr="00CC1BA6" w:rsidP="00CC1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A6" w:rsidRPr="002D2AF8" w:rsidP="00DE5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CPCCON3052 Conduct concrete boom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C1BA6" w:rsidP="00DE5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4C1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4A4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2E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08A"/>
  </w:style>
  <w:style w:type="character" w:customStyle="1" w:styleId="Heading1Char">
    <w:name w:val="Heading 1 Char"/>
    <w:basedOn w:val="DefaultParagraphFont"/>
    <w:link w:val="Heading1"/>
    <w:rsid w:val="00DE5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0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0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08A"/>
    <w:rPr>
      <w:b/>
      <w:spacing w:val="0"/>
    </w:rPr>
  </w:style>
  <w:style w:type="paragraph" w:customStyle="1" w:styleId="SuperTitle">
    <w:name w:val="SuperTitle"/>
    <w:basedOn w:val="Title"/>
    <w:rsid w:val="00DE5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0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08A"/>
    <w:rPr>
      <w:i/>
    </w:rPr>
  </w:style>
  <w:style w:type="paragraph" w:styleId="Caption">
    <w:name w:val="caption"/>
    <w:basedOn w:val="BodyText"/>
    <w:next w:val="Normal"/>
    <w:qFormat/>
    <w:rsid w:val="00DE5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08A"/>
  </w:style>
  <w:style w:type="paragraph" w:styleId="TableofFigures">
    <w:name w:val="table of figures"/>
    <w:basedOn w:val="Normal"/>
    <w:next w:val="Normal"/>
    <w:semiHidden/>
    <w:rsid w:val="00DE5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0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08A"/>
    <w:rPr>
      <w:rFonts w:ascii="Wingdings" w:hAnsi="Wingdings"/>
    </w:rPr>
  </w:style>
  <w:style w:type="paragraph" w:customStyle="1" w:styleId="TableHeading">
    <w:name w:val="Table Heading"/>
    <w:basedOn w:val="HeadingBase"/>
    <w:rsid w:val="00DE5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08A"/>
    <w:rPr>
      <w:color w:val="0033CC"/>
      <w:u w:val="none"/>
    </w:rPr>
  </w:style>
  <w:style w:type="paragraph" w:customStyle="1" w:styleId="BodyTextRight">
    <w:name w:val="Body Text Right"/>
    <w:basedOn w:val="BodyText"/>
    <w:rsid w:val="00DE5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0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08A"/>
    <w:rPr>
      <w:sz w:val="32"/>
    </w:rPr>
  </w:style>
  <w:style w:type="paragraph" w:customStyle="1" w:styleId="HeadingProcedure">
    <w:name w:val="Heading Procedure"/>
    <w:basedOn w:val="HeadingBase"/>
    <w:next w:val="Normal"/>
    <w:rsid w:val="00DE5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08A"/>
    <w:pPr>
      <w:spacing w:before="60" w:after="60"/>
    </w:pPr>
  </w:style>
  <w:style w:type="paragraph" w:styleId="ListContinue">
    <w:name w:val="List Continue"/>
    <w:basedOn w:val="List"/>
    <w:rsid w:val="00DE508A"/>
    <w:pPr>
      <w:ind w:firstLine="0"/>
    </w:pPr>
  </w:style>
  <w:style w:type="paragraph" w:customStyle="1" w:styleId="ListNote">
    <w:name w:val="List Note"/>
    <w:basedOn w:val="List"/>
    <w:rsid w:val="00DE5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08A"/>
    <w:rPr>
      <w:rFonts w:ascii="Courier New" w:hAnsi="Courier New"/>
    </w:rPr>
  </w:style>
  <w:style w:type="paragraph" w:customStyle="1" w:styleId="NoteBullet">
    <w:name w:val="Note Bullet"/>
    <w:basedOn w:val="Note"/>
    <w:rsid w:val="00DE5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0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08A"/>
    <w:rPr>
      <w:b/>
      <w:smallCaps/>
    </w:rPr>
  </w:style>
  <w:style w:type="paragraph" w:customStyle="1" w:styleId="TableListNumber">
    <w:name w:val="Table List Number"/>
    <w:basedOn w:val="ListNumber"/>
    <w:rsid w:val="00DE5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08A"/>
    <w:pPr>
      <w:numPr>
        <w:numId w:val="9"/>
      </w:numPr>
    </w:pPr>
  </w:style>
  <w:style w:type="paragraph" w:customStyle="1" w:styleId="ListAlpha2">
    <w:name w:val="List Alpha 2"/>
    <w:basedOn w:val="List2"/>
    <w:rsid w:val="00DE508A"/>
    <w:pPr>
      <w:numPr>
        <w:numId w:val="8"/>
      </w:numPr>
    </w:pPr>
  </w:style>
  <w:style w:type="paragraph" w:styleId="List2">
    <w:name w:val="List 2"/>
    <w:basedOn w:val="BodyText"/>
    <w:rsid w:val="00DE5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0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0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08A"/>
    <w:pPr>
      <w:numPr>
        <w:numId w:val="4"/>
      </w:numPr>
    </w:pPr>
  </w:style>
  <w:style w:type="paragraph" w:styleId="ListContinue2">
    <w:name w:val="List Continue 2"/>
    <w:basedOn w:val="List2"/>
    <w:rsid w:val="00DE508A"/>
    <w:pPr>
      <w:ind w:firstLine="0"/>
    </w:pPr>
  </w:style>
  <w:style w:type="paragraph" w:styleId="ListContinue3">
    <w:name w:val="List Continue 3"/>
    <w:basedOn w:val="List3"/>
    <w:rsid w:val="00DE508A"/>
    <w:pPr>
      <w:ind w:left="1021" w:firstLine="0"/>
    </w:pPr>
  </w:style>
  <w:style w:type="paragraph" w:styleId="ListContinue4">
    <w:name w:val="List Continue 4"/>
    <w:basedOn w:val="List4"/>
    <w:rsid w:val="00DE508A"/>
    <w:pPr>
      <w:ind w:firstLine="0"/>
    </w:pPr>
  </w:style>
  <w:style w:type="paragraph" w:styleId="ListContinue5">
    <w:name w:val="List Continue 5"/>
    <w:basedOn w:val="List5"/>
    <w:rsid w:val="00DE508A"/>
    <w:pPr>
      <w:ind w:firstLine="0"/>
    </w:pPr>
  </w:style>
  <w:style w:type="paragraph" w:styleId="ListNumber3">
    <w:name w:val="List Number 3"/>
    <w:basedOn w:val="List3"/>
    <w:rsid w:val="00DE508A"/>
    <w:pPr>
      <w:numPr>
        <w:numId w:val="5"/>
      </w:numPr>
    </w:pPr>
  </w:style>
  <w:style w:type="paragraph" w:styleId="ListNumber4">
    <w:name w:val="List Number 4"/>
    <w:basedOn w:val="List4"/>
    <w:rsid w:val="00DE508A"/>
    <w:pPr>
      <w:numPr>
        <w:numId w:val="6"/>
      </w:numPr>
    </w:pPr>
  </w:style>
  <w:style w:type="paragraph" w:styleId="ListNumber5">
    <w:name w:val="List Number 5"/>
    <w:basedOn w:val="List5"/>
    <w:rsid w:val="00DE508A"/>
    <w:pPr>
      <w:numPr>
        <w:numId w:val="7"/>
      </w:numPr>
    </w:pPr>
  </w:style>
  <w:style w:type="paragraph" w:styleId="BlockText">
    <w:name w:val="Block Text"/>
    <w:basedOn w:val="Normal"/>
    <w:rsid w:val="00DE5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08A"/>
    <w:rPr>
      <w:sz w:val="16"/>
      <w:vertAlign w:val="superscript"/>
    </w:rPr>
  </w:style>
  <w:style w:type="character" w:customStyle="1" w:styleId="Symbols">
    <w:name w:val="Symbols"/>
    <w:basedOn w:val="DefaultParagraphFont"/>
    <w:rsid w:val="00DE508A"/>
    <w:rPr>
      <w:rFonts w:ascii="Symbol" w:hAnsi="Symbol"/>
    </w:rPr>
  </w:style>
  <w:style w:type="character" w:customStyle="1" w:styleId="MenuOptions">
    <w:name w:val="Menu Options"/>
    <w:basedOn w:val="DefaultParagraphFont"/>
    <w:rsid w:val="00DE5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08A"/>
    <w:rPr>
      <w:b/>
    </w:rPr>
  </w:style>
  <w:style w:type="character" w:customStyle="1" w:styleId="Underlined">
    <w:name w:val="Underlined"/>
    <w:basedOn w:val="DefaultParagraphFont"/>
    <w:rsid w:val="00DE508A"/>
    <w:rPr>
      <w:u w:val="single"/>
    </w:rPr>
  </w:style>
  <w:style w:type="paragraph" w:customStyle="1" w:styleId="TableBodyTextRight">
    <w:name w:val="Table Body Text Right"/>
    <w:basedOn w:val="TableBodyText"/>
    <w:rsid w:val="00DE5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08A"/>
    <w:rPr>
      <w:sz w:val="18"/>
    </w:rPr>
  </w:style>
  <w:style w:type="paragraph" w:customStyle="1" w:styleId="BodySmallRight">
    <w:name w:val="Body Small Right"/>
    <w:basedOn w:val="BodyTextRight"/>
    <w:rsid w:val="00DE508A"/>
    <w:rPr>
      <w:sz w:val="18"/>
      <w:szCs w:val="18"/>
    </w:rPr>
  </w:style>
  <w:style w:type="paragraph" w:customStyle="1" w:styleId="MarginEdition">
    <w:name w:val="Margin Edition"/>
    <w:basedOn w:val="MarginNote"/>
    <w:rsid w:val="00DE5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08A"/>
    <w:rPr>
      <w:sz w:val="2"/>
      <w:szCs w:val="2"/>
    </w:rPr>
  </w:style>
  <w:style w:type="character" w:customStyle="1" w:styleId="Small">
    <w:name w:val="Small"/>
    <w:basedOn w:val="DefaultParagraphFont"/>
    <w:rsid w:val="00DE508A"/>
    <w:rPr>
      <w:sz w:val="16"/>
    </w:rPr>
  </w:style>
  <w:style w:type="paragraph" w:customStyle="1" w:styleId="WideTable">
    <w:name w:val="Wide Table"/>
    <w:basedOn w:val="Normal"/>
    <w:rsid w:val="00DE5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08A"/>
  </w:style>
  <w:style w:type="paragraph" w:styleId="Quote">
    <w:name w:val="Quote"/>
    <w:basedOn w:val="Heading1"/>
    <w:link w:val="QuoteChar"/>
    <w:qFormat/>
    <w:rsid w:val="00DE5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08A"/>
    <w:pPr>
      <w:pageBreakBefore/>
    </w:pPr>
  </w:style>
  <w:style w:type="paragraph" w:customStyle="1" w:styleId="Border">
    <w:name w:val="Border"/>
    <w:basedOn w:val="Normal"/>
    <w:qFormat/>
    <w:rsid w:val="00DE5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08A"/>
    <w:rPr>
      <w:u w:val="single"/>
    </w:rPr>
  </w:style>
  <w:style w:type="character" w:customStyle="1" w:styleId="BoldandItalics">
    <w:name w:val="Bold and Italics"/>
    <w:qFormat/>
    <w:rsid w:val="00DE508A"/>
    <w:rPr>
      <w:b/>
      <w:i/>
      <w:u w:val="none"/>
    </w:rPr>
  </w:style>
  <w:style w:type="paragraph" w:styleId="BalloonText">
    <w:name w:val="Balloon Text"/>
    <w:basedOn w:val="Normal"/>
    <w:link w:val="BalloonTextChar"/>
    <w:rsid w:val="00DE5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08A"/>
    <w:pPr>
      <w:spacing w:before="0" w:after="0"/>
    </w:pPr>
  </w:style>
  <w:style w:type="paragraph" w:customStyle="1" w:styleId="BodyTextBold">
    <w:name w:val="Body Text Bold"/>
    <w:basedOn w:val="BodyText"/>
    <w:qFormat/>
    <w:rsid w:val="00DE508A"/>
    <w:rPr>
      <w:b/>
    </w:rPr>
  </w:style>
  <w:style w:type="character" w:styleId="Hyperlink">
    <w:name w:val="Hyperlink"/>
    <w:basedOn w:val="DefaultParagraphFont"/>
    <w:uiPriority w:val="99"/>
    <w:unhideWhenUsed/>
    <w:rsid w:val="00CC1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3068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CPCCON3052 Conduct concrete boom delivery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