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0DCA" w:rsidP="00970D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CPCCON3050 Carry out high-performance concreting</w:t>
      </w:r>
      <w:r>
        <w:fldChar w:fldCharType="end"/>
      </w:r>
    </w:p>
    <w:p w:rsidR="00970DCA" w:rsidP="00970DCA">
      <w:pPr>
        <w:pStyle w:val="Version"/>
        <w:sectPr w:rsidSect="001D4A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D4A9C" w:rsidP="001D4A9C">
      <w:pPr>
        <w:pStyle w:val="SuperHeading"/>
      </w:pPr>
      <w:r w:rsidRPr="001D4A9C">
        <w:t>CPCCON3050 Carry out high-performance concreting</w:t>
      </w:r>
    </w:p>
    <w:p w:rsidR="00000000" w:rsidRPr="001D4A9C" w:rsidP="001D4A9C">
      <w:pPr>
        <w:pStyle w:val="Heading1"/>
      </w:pPr>
      <w:bookmarkStart w:id="1" w:name="O_1293424"/>
      <w:bookmarkEnd w:id="1"/>
      <w:r w:rsidRPr="001D4A9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5"/>
        <w:gridCol w:w="6663"/>
      </w:tblGrid>
      <w:tr w:rsidTr="001D4A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A9C">
            <w:pPr>
              <w:pStyle w:val="BodyText"/>
              <w:rPr>
                <w:lang w:val="en-NZ"/>
              </w:rPr>
            </w:pPr>
            <w:r w:rsidRPr="001D4A9C">
              <w:t>Release 2</w:t>
            </w: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A9C">
            <w:pPr>
              <w:pStyle w:val="BodyText"/>
              <w:rPr>
                <w:lang w:val="en-NZ"/>
              </w:rPr>
            </w:pPr>
            <w:r w:rsidRPr="001D4A9C">
              <w:t>Updated reference to general construction induction training program.</w:t>
            </w:r>
          </w:p>
        </w:tc>
      </w:tr>
      <w:tr w:rsidTr="001D4A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A9C">
            <w:pPr>
              <w:pStyle w:val="BodyText"/>
              <w:rPr>
                <w:lang w:val="en-NZ"/>
              </w:rPr>
            </w:pPr>
            <w:r w:rsidRPr="001D4A9C">
              <w:t>Release 1</w:t>
            </w: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A9C" w:rsidP="001D4A9C">
            <w:pPr>
              <w:pStyle w:val="BodyText"/>
            </w:pPr>
            <w:r w:rsidRPr="001D4A9C">
              <w:t>This version first released with CPC Construction, Plumbing and Services Training Package Release 5.0.</w:t>
            </w:r>
          </w:p>
          <w:p w:rsidR="00000000" w:rsidRPr="001D4A9C" w:rsidP="001D4A9C">
            <w:pPr>
              <w:pStyle w:val="BodyText"/>
            </w:pPr>
            <w:r w:rsidRPr="001D4A9C">
              <w:t xml:space="preserve">Supersedes and is equivalent to </w:t>
            </w:r>
            <w:r w:rsidRPr="001D4A9C">
              <w:t>CPCCCO3050 Carry out high performance concreting.</w:t>
            </w:r>
          </w:p>
        </w:tc>
      </w:tr>
    </w:tbl>
    <w:p w:rsidR="00000000" w:rsidRPr="001D4A9C" w:rsidP="001D4A9C">
      <w:pPr>
        <w:pStyle w:val="BodyText"/>
      </w:pPr>
    </w:p>
    <w:p w:rsidR="00000000" w:rsidRPr="001D4A9C" w:rsidP="001D4A9C">
      <w:pPr>
        <w:pStyle w:val="AllowPageBreak"/>
      </w:pPr>
    </w:p>
    <w:p w:rsidR="00000000" w:rsidRPr="001D4A9C" w:rsidP="001D4A9C">
      <w:pPr>
        <w:pStyle w:val="Heading1"/>
      </w:pPr>
      <w:bookmarkStart w:id="2" w:name="O_1293423"/>
      <w:bookmarkEnd w:id="2"/>
      <w:r w:rsidRPr="001D4A9C">
        <w:t>Application</w:t>
      </w:r>
    </w:p>
    <w:p w:rsidR="00000000" w:rsidRPr="001D4A9C" w:rsidP="00970DCA">
      <w:pPr>
        <w:pStyle w:val="BodyText"/>
      </w:pPr>
      <w:r w:rsidRPr="001D4A9C">
        <w:t xml:space="preserve">This unit of competency specifies the skills and knowledge required to place high-performance concrete onto structures requiring high-strength attributes and durability. It </w:t>
      </w:r>
      <w:r w:rsidRPr="001D4A9C">
        <w:t>applies to concrete work on structures such as bridges, airport runways, dams, cooling towers, foundation supports for high-rise facilities, roadways and tunnels.</w:t>
      </w:r>
    </w:p>
    <w:p w:rsidR="00000000" w:rsidRPr="001D4A9C" w:rsidP="00970DCA">
      <w:pPr>
        <w:pStyle w:val="BodyText"/>
      </w:pPr>
      <w:r w:rsidRPr="001D4A9C">
        <w:t>A person who has achieved this unit of competency is expected to take responsibility for orga</w:t>
      </w:r>
      <w:r w:rsidRPr="001D4A9C">
        <w:t>nising and completing these tasks with a high degree of self-direction.</w:t>
      </w:r>
    </w:p>
    <w:p w:rsidR="00000000" w:rsidRPr="001D4A9C" w:rsidP="00970DCA">
      <w:pPr>
        <w:pStyle w:val="BodyText"/>
      </w:pPr>
      <w:r w:rsidRPr="001D4A9C">
        <w:t>Licensing, legislative, regulatory or certification requirements may apply to this unit of competency in some states and territories. For further information, check with the relevant r</w:t>
      </w:r>
      <w:r w:rsidRPr="001D4A9C">
        <w:t>egulatory authority.</w:t>
      </w:r>
    </w:p>
    <w:p w:rsidR="00000000" w:rsidRPr="001D4A9C" w:rsidP="00970DCA">
      <w:pPr>
        <w:pStyle w:val="BodyText"/>
      </w:pPr>
      <w:r w:rsidRPr="001D4A9C">
        <w:t>Completion of the general construction induction training program, specified in the Safe Work Australia model </w:t>
      </w:r>
      <w:r w:rsidRPr="001D4A9C">
        <w:rPr>
          <w:rStyle w:val="Emphasis"/>
        </w:rPr>
        <w:t>Code of Practice: Construction Work</w:t>
      </w:r>
      <w:r w:rsidRPr="001D4A9C">
        <w:t xml:space="preserve">, is required by anyone carrying out construction work. Achievement of </w:t>
      </w:r>
      <w:r w:rsidRPr="001D4A9C">
        <w:rPr>
          <w:rStyle w:val="Emphasis"/>
        </w:rPr>
        <w:t>CPCWHS1001</w:t>
      </w:r>
      <w:r w:rsidRPr="001D4A9C">
        <w:t> </w:t>
      </w:r>
      <w:r w:rsidRPr="001D4A9C">
        <w:rPr>
          <w:rStyle w:val="Emphasis"/>
        </w:rPr>
        <w:t xml:space="preserve">Prepare </w:t>
      </w:r>
      <w:r w:rsidRPr="001D4A9C">
        <w:rPr>
          <w:rStyle w:val="Emphasis"/>
        </w:rPr>
        <w:t>to work safely in the construction industry</w:t>
      </w:r>
      <w:r w:rsidRPr="001D4A9C">
        <w:t> meets this requirement.</w:t>
      </w:r>
    </w:p>
    <w:p w:rsidR="00000000" w:rsidRPr="001D4A9C" w:rsidP="001D4A9C">
      <w:pPr>
        <w:pStyle w:val="Heading1"/>
      </w:pPr>
      <w:bookmarkStart w:id="3" w:name="O_1293422"/>
      <w:bookmarkEnd w:id="3"/>
      <w:r w:rsidRPr="001D4A9C">
        <w:t>Pre-requisite Unit</w:t>
      </w:r>
    </w:p>
    <w:p w:rsidR="00000000" w:rsidRPr="001D4A9C" w:rsidP="00970DCA">
      <w:pPr>
        <w:pStyle w:val="BodyText"/>
      </w:pPr>
      <w:r w:rsidRPr="001D4A9C">
        <w:t>CPCCWHS2001 Apply WHS requirements, policies and procedures in the construction industry</w:t>
      </w:r>
    </w:p>
    <w:p w:rsidR="00000000" w:rsidRPr="001D4A9C" w:rsidP="001D4A9C">
      <w:pPr>
        <w:pStyle w:val="Heading1"/>
      </w:pPr>
      <w:bookmarkStart w:id="4" w:name="O_1293421"/>
      <w:bookmarkEnd w:id="4"/>
      <w:r w:rsidRPr="001D4A9C">
        <w:t>Unit Sector</w:t>
      </w:r>
    </w:p>
    <w:p w:rsidR="00000000" w:rsidRPr="001D4A9C" w:rsidP="00970DCA">
      <w:pPr>
        <w:pStyle w:val="BodyText"/>
      </w:pPr>
      <w:r w:rsidRPr="001D4A9C">
        <w:t>Concreting</w:t>
      </w:r>
    </w:p>
    <w:p w:rsidR="00000000" w:rsidRPr="001D4A9C" w:rsidP="001D4A9C">
      <w:pPr>
        <w:pStyle w:val="Heading1"/>
      </w:pPr>
      <w:bookmarkStart w:id="5" w:name="O_1293420"/>
      <w:bookmarkEnd w:id="5"/>
      <w:r w:rsidRPr="001D4A9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1D4A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A9C">
            <w:pPr>
              <w:pStyle w:val="BodyText"/>
              <w:rPr>
                <w:lang w:val="en-NZ"/>
              </w:rPr>
            </w:pPr>
            <w:r w:rsidRPr="001D4A9C">
              <w:t xml:space="preserve">Elements describe the </w:t>
            </w:r>
            <w:r w:rsidRPr="001D4A9C">
              <w:t>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A9C">
            <w:pPr>
              <w:pStyle w:val="BodyText"/>
              <w:rPr>
                <w:lang w:val="en-NZ"/>
              </w:rPr>
            </w:pPr>
            <w:r w:rsidRPr="001D4A9C">
              <w:t xml:space="preserve">Performance criteria describe what needs to be done to </w:t>
            </w:r>
            <w:r w:rsidRPr="001D4A9C">
              <w:t>demonstrate achievement of the element.</w:t>
            </w:r>
          </w:p>
        </w:tc>
      </w:tr>
      <w:tr w:rsidTr="001D4A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A9C">
            <w:pPr>
              <w:pStyle w:val="BodyText"/>
              <w:rPr>
                <w:lang w:val="en-NZ"/>
              </w:rPr>
            </w:pPr>
            <w:r w:rsidRPr="001D4A9C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A9C">
            <w:pPr>
              <w:pStyle w:val="BodyText"/>
              <w:rPr>
                <w:lang w:val="en-NZ"/>
              </w:rPr>
            </w:pPr>
            <w:r w:rsidRPr="001D4A9C">
              <w:t>Plan and prepare to carry out high-performance concreting.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A9C">
            <w:pPr>
              <w:pStyle w:val="BodyText"/>
              <w:rPr>
                <w:lang w:val="en-NZ"/>
              </w:rPr>
            </w:pPr>
            <w:r w:rsidRPr="001D4A9C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A9C">
            <w:pPr>
              <w:pStyle w:val="BodyText"/>
              <w:rPr>
                <w:lang w:val="en-NZ"/>
              </w:rPr>
            </w:pPr>
            <w:r w:rsidRPr="001D4A9C">
              <w:t>Interpret specifi</w:t>
            </w:r>
            <w:r w:rsidRPr="001D4A9C">
              <w:t>cations for high-performance concreting tasks and clarify requirements with relevant persons.</w:t>
            </w:r>
          </w:p>
        </w:tc>
      </w:tr>
      <w:tr w:rsidTr="001D4A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A9C">
            <w:pPr>
              <w:pStyle w:val="BodyText"/>
              <w:rPr>
                <w:lang w:val="en-NZ"/>
              </w:rPr>
            </w:pPr>
            <w:r w:rsidRPr="001D4A9C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A9C">
            <w:pPr>
              <w:pStyle w:val="BodyText"/>
              <w:rPr>
                <w:lang w:val="en-NZ"/>
              </w:rPr>
            </w:pPr>
            <w:r w:rsidRPr="001D4A9C">
              <w:t>Plan work tasks to comply with relevant legislation, regulations, standards, codes, work health and safety (WHS), environmental and workplace requirements.</w:t>
            </w:r>
          </w:p>
        </w:tc>
      </w:tr>
      <w:tr w:rsidTr="001D4A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A9C">
            <w:pPr>
              <w:pStyle w:val="BodyText"/>
              <w:rPr>
                <w:lang w:val="en-NZ"/>
              </w:rPr>
            </w:pPr>
            <w:r w:rsidRPr="001D4A9C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A9C">
            <w:pPr>
              <w:pStyle w:val="BodyText"/>
              <w:rPr>
                <w:lang w:val="en-NZ"/>
              </w:rPr>
            </w:pPr>
            <w:r w:rsidRPr="001D4A9C">
              <w:t>Select and fit required personal protective equipment (PPE).</w:t>
            </w:r>
          </w:p>
        </w:tc>
      </w:tr>
      <w:tr w:rsidTr="001D4A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A9C">
            <w:pPr>
              <w:pStyle w:val="BodyText"/>
              <w:rPr>
                <w:lang w:val="en-NZ"/>
              </w:rPr>
            </w:pPr>
            <w:r w:rsidRPr="001D4A9C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A9C">
            <w:pPr>
              <w:pStyle w:val="BodyText"/>
              <w:rPr>
                <w:lang w:val="en-NZ"/>
              </w:rPr>
            </w:pPr>
            <w:r w:rsidRPr="001D4A9C">
              <w:t>Inspect worksite, identify hazards, assess risks and apply risk controls, including required signage and barricades.</w:t>
            </w:r>
          </w:p>
        </w:tc>
      </w:tr>
      <w:tr w:rsidTr="001D4A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A9C">
            <w:pPr>
              <w:pStyle w:val="BodyText"/>
              <w:rPr>
                <w:lang w:val="en-NZ"/>
              </w:rPr>
            </w:pPr>
            <w:r w:rsidRPr="001D4A9C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A9C">
            <w:pPr>
              <w:pStyle w:val="BodyText"/>
              <w:rPr>
                <w:lang w:val="en-NZ"/>
              </w:rPr>
            </w:pPr>
            <w:r w:rsidRPr="001D4A9C">
              <w:t>Select plant, tools and equipment, check for serviceability and rectify or report any faults.</w:t>
            </w:r>
          </w:p>
        </w:tc>
      </w:tr>
      <w:tr w:rsidTr="001D4A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A9C">
            <w:pPr>
              <w:pStyle w:val="BodyText"/>
              <w:rPr>
                <w:lang w:val="en-NZ"/>
              </w:rPr>
            </w:pPr>
            <w:r w:rsidRPr="001D4A9C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A9C">
            <w:pPr>
              <w:pStyle w:val="BodyText"/>
              <w:rPr>
                <w:lang w:val="en-NZ"/>
              </w:rPr>
            </w:pPr>
            <w:r w:rsidRPr="001D4A9C">
              <w:t>Calculate and acquire material quantities to meet task specifications and safely locate materials ready for use.</w:t>
            </w:r>
          </w:p>
        </w:tc>
      </w:tr>
      <w:tr w:rsidTr="001D4A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A9C">
            <w:pPr>
              <w:pStyle w:val="BodyText"/>
              <w:rPr>
                <w:lang w:val="en-NZ"/>
              </w:rPr>
            </w:pPr>
          </w:p>
        </w:tc>
      </w:tr>
      <w:tr w:rsidTr="001D4A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A9C">
            <w:pPr>
              <w:pStyle w:val="BodyText"/>
              <w:rPr>
                <w:lang w:val="en-NZ"/>
              </w:rPr>
            </w:pPr>
            <w:r w:rsidRPr="001D4A9C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A9C">
            <w:pPr>
              <w:pStyle w:val="BodyText"/>
              <w:rPr>
                <w:lang w:val="en-NZ"/>
              </w:rPr>
            </w:pPr>
            <w:r w:rsidRPr="001D4A9C">
              <w:t>Place, finish and cure high-performance concrete.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A9C">
            <w:pPr>
              <w:pStyle w:val="BodyText"/>
              <w:rPr>
                <w:lang w:val="en-NZ"/>
              </w:rPr>
            </w:pPr>
            <w:r w:rsidRPr="001D4A9C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A9C">
            <w:pPr>
              <w:pStyle w:val="BodyText"/>
              <w:rPr>
                <w:lang w:val="en-NZ"/>
              </w:rPr>
            </w:pPr>
            <w:r w:rsidRPr="001D4A9C">
              <w:t>Carry out tests to check required properties of high-performance concrete in accordance with specifications and relevant standards.</w:t>
            </w:r>
          </w:p>
        </w:tc>
      </w:tr>
      <w:tr w:rsidTr="001D4A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A9C">
            <w:pPr>
              <w:pStyle w:val="BodyText"/>
              <w:rPr>
                <w:lang w:val="en-NZ"/>
              </w:rPr>
            </w:pPr>
            <w:r w:rsidRPr="001D4A9C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A9C">
            <w:pPr>
              <w:pStyle w:val="BodyText"/>
              <w:rPr>
                <w:lang w:val="en-NZ"/>
              </w:rPr>
            </w:pPr>
            <w:r w:rsidRPr="001D4A9C">
              <w:t>Use appropriate mechanical or manual handling techniques and pr</w:t>
            </w:r>
            <w:r w:rsidRPr="001D4A9C">
              <w:t>ocesses to discharge high-performance concrete into formwork.</w:t>
            </w:r>
          </w:p>
        </w:tc>
      </w:tr>
      <w:tr w:rsidTr="001D4A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A9C">
            <w:pPr>
              <w:pStyle w:val="BodyText"/>
              <w:rPr>
                <w:lang w:val="en-NZ"/>
              </w:rPr>
            </w:pPr>
            <w:r w:rsidRPr="001D4A9C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A9C">
            <w:pPr>
              <w:pStyle w:val="BodyText"/>
              <w:rPr>
                <w:lang w:val="en-NZ"/>
              </w:rPr>
            </w:pPr>
            <w:r w:rsidRPr="001D4A9C">
              <w:t>Use required technique to ensure high-performance concrete is placed in a timely manner to avoid material segregation in accordance with specifications.</w:t>
            </w:r>
          </w:p>
        </w:tc>
      </w:tr>
      <w:tr w:rsidTr="001D4A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A9C">
            <w:pPr>
              <w:pStyle w:val="BodyText"/>
              <w:rPr>
                <w:lang w:val="en-NZ"/>
              </w:rPr>
            </w:pPr>
            <w:r w:rsidRPr="001D4A9C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A9C">
            <w:pPr>
              <w:pStyle w:val="BodyText"/>
              <w:rPr>
                <w:lang w:val="en-NZ"/>
              </w:rPr>
            </w:pPr>
            <w:r w:rsidRPr="001D4A9C">
              <w:t>Compact or vibrate high-performance concrete and screed into designated formwork in accordance with specifications and supporting drawings.</w:t>
            </w:r>
          </w:p>
        </w:tc>
      </w:tr>
      <w:tr w:rsidTr="001D4A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A9C">
            <w:pPr>
              <w:pStyle w:val="BodyText"/>
              <w:rPr>
                <w:lang w:val="en-NZ"/>
              </w:rPr>
            </w:pPr>
            <w:r w:rsidRPr="001D4A9C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A9C">
            <w:pPr>
              <w:pStyle w:val="BodyText"/>
              <w:rPr>
                <w:lang w:val="en-NZ"/>
              </w:rPr>
            </w:pPr>
            <w:r w:rsidRPr="001D4A9C">
              <w:t>Finish high-performance concrete to specified thickness and height.</w:t>
            </w:r>
          </w:p>
        </w:tc>
      </w:tr>
      <w:tr w:rsidTr="001D4A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A9C">
            <w:pPr>
              <w:pStyle w:val="BodyText"/>
              <w:rPr>
                <w:lang w:val="en-NZ"/>
              </w:rPr>
            </w:pPr>
            <w:r w:rsidRPr="001D4A9C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A9C">
            <w:pPr>
              <w:pStyle w:val="BodyText"/>
              <w:rPr>
                <w:lang w:val="en-NZ"/>
              </w:rPr>
            </w:pPr>
            <w:r w:rsidRPr="001D4A9C">
              <w:t>Apply and document high-performanc</w:t>
            </w:r>
            <w:r w:rsidRPr="001D4A9C">
              <w:t>e concrete curing regime in accordance with specifications.</w:t>
            </w:r>
          </w:p>
        </w:tc>
      </w:tr>
      <w:tr w:rsidTr="001D4A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A9C">
            <w:pPr>
              <w:pStyle w:val="BodyText"/>
              <w:rPr>
                <w:lang w:val="en-NZ"/>
              </w:rPr>
            </w:pPr>
            <w:r w:rsidRPr="001D4A9C">
              <w:t>2.7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A9C">
            <w:pPr>
              <w:pStyle w:val="BodyText"/>
              <w:rPr>
                <w:lang w:val="en-NZ"/>
              </w:rPr>
            </w:pPr>
            <w:r w:rsidRPr="001D4A9C">
              <w:t>Use plastic membrane to protect concrete from damage and pollution during construction.</w:t>
            </w:r>
          </w:p>
        </w:tc>
      </w:tr>
      <w:tr w:rsidTr="001D4A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A9C">
            <w:pPr>
              <w:pStyle w:val="BodyText"/>
              <w:rPr>
                <w:lang w:val="en-NZ"/>
              </w:rPr>
            </w:pPr>
          </w:p>
        </w:tc>
      </w:tr>
      <w:tr w:rsidTr="001D4A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A9C">
            <w:pPr>
              <w:pStyle w:val="BodyText"/>
              <w:rPr>
                <w:lang w:val="en-NZ"/>
              </w:rPr>
            </w:pPr>
            <w:r w:rsidRPr="001D4A9C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A9C">
            <w:pPr>
              <w:pStyle w:val="BodyText"/>
              <w:rPr>
                <w:lang w:val="en-NZ"/>
              </w:rPr>
            </w:pPr>
            <w:r w:rsidRPr="001D4A9C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A9C">
            <w:pPr>
              <w:pStyle w:val="BodyText"/>
              <w:rPr>
                <w:lang w:val="en-NZ"/>
              </w:rPr>
            </w:pPr>
            <w:r w:rsidRPr="001D4A9C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A9C">
            <w:pPr>
              <w:pStyle w:val="BodyText"/>
              <w:rPr>
                <w:lang w:val="en-NZ"/>
              </w:rPr>
            </w:pPr>
            <w:r w:rsidRPr="001D4A9C">
              <w:t>Clear work area and dispose of, reuse or recycle materials in accordance with regulatory and workplace requirements.</w:t>
            </w:r>
          </w:p>
        </w:tc>
      </w:tr>
      <w:tr w:rsidTr="001D4A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A9C">
            <w:pPr>
              <w:pStyle w:val="BodyText"/>
              <w:rPr>
                <w:lang w:val="en-NZ"/>
              </w:rPr>
            </w:pPr>
            <w:r w:rsidRPr="001D4A9C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A9C" w:rsidP="001D4A9C">
            <w:pPr>
              <w:pStyle w:val="BodyText"/>
            </w:pPr>
            <w:r w:rsidRPr="001D4A9C">
              <w:t>Clean, check, maintain and store plant, tools and equipment in accordance with manufacturer and workplace requirements.</w:t>
            </w:r>
          </w:p>
        </w:tc>
      </w:tr>
    </w:tbl>
    <w:p w:rsidR="00000000" w:rsidRPr="001D4A9C" w:rsidP="001D4A9C">
      <w:pPr>
        <w:pStyle w:val="BodyText"/>
      </w:pPr>
    </w:p>
    <w:p w:rsidR="00000000" w:rsidRPr="001D4A9C" w:rsidP="001D4A9C">
      <w:pPr>
        <w:pStyle w:val="AllowPageBreak"/>
      </w:pPr>
    </w:p>
    <w:p w:rsidR="00000000" w:rsidRPr="001D4A9C" w:rsidP="001D4A9C">
      <w:pPr>
        <w:pStyle w:val="Heading1"/>
      </w:pPr>
      <w:bookmarkStart w:id="6" w:name="O_1293419"/>
      <w:bookmarkEnd w:id="6"/>
      <w:r w:rsidRPr="001D4A9C">
        <w:t>Foundation Skills</w:t>
      </w:r>
    </w:p>
    <w:p w:rsidR="00000000" w:rsidRPr="001D4A9C" w:rsidP="00970DCA">
      <w:pPr>
        <w:pStyle w:val="BodyText"/>
      </w:pPr>
      <w:r w:rsidRPr="001D4A9C">
        <w:t xml:space="preserve">Foundation skills essential to performance are explicit in the performance criteria of this unit of competency. </w:t>
      </w:r>
    </w:p>
    <w:p w:rsidR="00000000" w:rsidRPr="001D4A9C" w:rsidP="001D4A9C">
      <w:pPr>
        <w:pStyle w:val="Heading1"/>
      </w:pPr>
      <w:bookmarkStart w:id="7" w:name="O_1293418"/>
      <w:bookmarkEnd w:id="7"/>
      <w:r w:rsidRPr="001D4A9C">
        <w:t>Unit Mapping Information</w:t>
      </w:r>
    </w:p>
    <w:p w:rsidR="00000000" w:rsidRPr="001D4A9C" w:rsidP="00970DCA">
      <w:pPr>
        <w:pStyle w:val="BodyText"/>
      </w:pPr>
      <w:r w:rsidRPr="001D4A9C">
        <w:t>Supersedes and is equivalent to CPCCCO3050 Carry out high performance co</w:t>
      </w:r>
      <w:r w:rsidRPr="001D4A9C">
        <w:t>ncreting</w:t>
      </w:r>
    </w:p>
    <w:p w:rsidR="00000000" w:rsidRPr="001D4A9C" w:rsidP="001D4A9C">
      <w:pPr>
        <w:pStyle w:val="Heading1"/>
      </w:pPr>
      <w:bookmarkStart w:id="8" w:name="O_1293425"/>
      <w:bookmarkEnd w:id="8"/>
      <w:r w:rsidRPr="001D4A9C">
        <w:t>Links</w:t>
      </w:r>
    </w:p>
    <w:p w:rsidR="00000000" w:rsidRPr="001D4A9C" w:rsidP="00970DCA">
      <w:pPr>
        <w:pStyle w:val="BodyText"/>
      </w:pPr>
      <w:r w:rsidRPr="001D4A9C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150773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1D4A9C" w:rsidP="001D4A9C"/>
    <w:sectPr w:rsidSect="001D4A9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A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A9C" w:rsidRPr="00970DCA" w:rsidP="00970D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A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DCA" w:rsidP="001D4A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70DCA" w:rsidP="001D4A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970DCA" w:rsidP="001D4A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A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D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4A9C" w:rsidRPr="00970DCA" w:rsidP="00970D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A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DCA" w:rsidRPr="002D2AF8" w:rsidP="001D4A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CPCCON3050 Carry out high-performance concreting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970DCA" w:rsidP="001D4A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4A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4A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4A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4A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4A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4A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4A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4A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4A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4A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4A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4A9C"/>
  </w:style>
  <w:style w:type="character" w:customStyle="1" w:styleId="Heading1Char">
    <w:name w:val="Heading 1 Char"/>
    <w:basedOn w:val="DefaultParagraphFont"/>
    <w:link w:val="Heading1"/>
    <w:rsid w:val="001D4A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4A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4A9C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1D4A9C"/>
    <w:rPr>
      <w:i/>
    </w:rPr>
  </w:style>
  <w:style w:type="paragraph" w:customStyle="1" w:styleId="SuperHeading">
    <w:name w:val="SuperHeading"/>
    <w:basedOn w:val="Normal"/>
    <w:rsid w:val="001D4A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4A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D4A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4A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4A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4A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4A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4A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4A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4A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4A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4A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4A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4A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4A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4A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4A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4A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4A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4A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4A9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D4A9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D4A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D4A9C"/>
    <w:rPr>
      <w:b/>
      <w:spacing w:val="0"/>
    </w:rPr>
  </w:style>
  <w:style w:type="paragraph" w:customStyle="1" w:styleId="SuperTitle">
    <w:name w:val="SuperTitle"/>
    <w:basedOn w:val="Title"/>
    <w:rsid w:val="001D4A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4A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4A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D4A9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D4A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4A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4A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4A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4A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4A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4A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4A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4A9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D4A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4A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4A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4A9C"/>
  </w:style>
  <w:style w:type="paragraph" w:styleId="TableofFigures">
    <w:name w:val="table of figures"/>
    <w:basedOn w:val="Normal"/>
    <w:next w:val="Normal"/>
    <w:semiHidden/>
    <w:rsid w:val="001D4A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4A9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D4A9C"/>
    <w:rPr>
      <w:rFonts w:ascii="Wingdings" w:hAnsi="Wingdings"/>
    </w:rPr>
  </w:style>
  <w:style w:type="paragraph" w:customStyle="1" w:styleId="TableHeading">
    <w:name w:val="Table Heading"/>
    <w:basedOn w:val="HeadingBase"/>
    <w:rsid w:val="001D4A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4A9C"/>
    <w:rPr>
      <w:color w:val="0033CC"/>
      <w:u w:val="none"/>
    </w:rPr>
  </w:style>
  <w:style w:type="paragraph" w:customStyle="1" w:styleId="BodyTextRight">
    <w:name w:val="Body Text Right"/>
    <w:basedOn w:val="BodyText"/>
    <w:rsid w:val="001D4A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4A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4A9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4A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4A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4A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4A9C"/>
    <w:rPr>
      <w:sz w:val="32"/>
    </w:rPr>
  </w:style>
  <w:style w:type="paragraph" w:customStyle="1" w:styleId="HeadingProcedure">
    <w:name w:val="Heading Procedure"/>
    <w:basedOn w:val="HeadingBase"/>
    <w:next w:val="Normal"/>
    <w:rsid w:val="001D4A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4A9C"/>
    <w:pPr>
      <w:spacing w:before="60" w:after="60"/>
    </w:pPr>
  </w:style>
  <w:style w:type="paragraph" w:styleId="ListContinue">
    <w:name w:val="List Continue"/>
    <w:basedOn w:val="List"/>
    <w:rsid w:val="001D4A9C"/>
    <w:pPr>
      <w:ind w:firstLine="0"/>
    </w:pPr>
  </w:style>
  <w:style w:type="paragraph" w:customStyle="1" w:styleId="ListNote">
    <w:name w:val="List Note"/>
    <w:basedOn w:val="List"/>
    <w:rsid w:val="001D4A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4A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4A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4A9C"/>
    <w:rPr>
      <w:rFonts w:ascii="Courier New" w:hAnsi="Courier New"/>
    </w:rPr>
  </w:style>
  <w:style w:type="paragraph" w:customStyle="1" w:styleId="NoteBullet">
    <w:name w:val="Note Bullet"/>
    <w:basedOn w:val="Note"/>
    <w:rsid w:val="001D4A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4A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4A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4A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4A9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D4A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4A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4A9C"/>
    <w:rPr>
      <w:b/>
      <w:smallCaps/>
    </w:rPr>
  </w:style>
  <w:style w:type="paragraph" w:customStyle="1" w:styleId="TableListNumber">
    <w:name w:val="Table List Number"/>
    <w:basedOn w:val="ListNumber"/>
    <w:rsid w:val="001D4A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4A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4A9C"/>
    <w:pPr>
      <w:numPr>
        <w:numId w:val="7"/>
      </w:numPr>
    </w:pPr>
  </w:style>
  <w:style w:type="paragraph" w:customStyle="1" w:styleId="ListAlpha2">
    <w:name w:val="List Alpha 2"/>
    <w:basedOn w:val="List2"/>
    <w:rsid w:val="001D4A9C"/>
    <w:pPr>
      <w:numPr>
        <w:numId w:val="6"/>
      </w:numPr>
    </w:pPr>
  </w:style>
  <w:style w:type="paragraph" w:styleId="List2">
    <w:name w:val="List 2"/>
    <w:basedOn w:val="BodyText"/>
    <w:rsid w:val="001D4A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4A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4A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4A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4A9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4A9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D4A9C"/>
    <w:pPr>
      <w:numPr>
        <w:numId w:val="2"/>
      </w:numPr>
    </w:pPr>
  </w:style>
  <w:style w:type="paragraph" w:styleId="ListContinue2">
    <w:name w:val="List Continue 2"/>
    <w:basedOn w:val="List2"/>
    <w:rsid w:val="001D4A9C"/>
    <w:pPr>
      <w:ind w:firstLine="0"/>
    </w:pPr>
  </w:style>
  <w:style w:type="paragraph" w:styleId="ListContinue3">
    <w:name w:val="List Continue 3"/>
    <w:basedOn w:val="List3"/>
    <w:rsid w:val="001D4A9C"/>
    <w:pPr>
      <w:ind w:left="1021" w:firstLine="0"/>
    </w:pPr>
  </w:style>
  <w:style w:type="paragraph" w:styleId="ListContinue4">
    <w:name w:val="List Continue 4"/>
    <w:basedOn w:val="List4"/>
    <w:rsid w:val="001D4A9C"/>
    <w:pPr>
      <w:ind w:firstLine="0"/>
    </w:pPr>
  </w:style>
  <w:style w:type="paragraph" w:styleId="ListContinue5">
    <w:name w:val="List Continue 5"/>
    <w:basedOn w:val="List5"/>
    <w:rsid w:val="001D4A9C"/>
    <w:pPr>
      <w:ind w:firstLine="0"/>
    </w:pPr>
  </w:style>
  <w:style w:type="paragraph" w:styleId="ListNumber3">
    <w:name w:val="List Number 3"/>
    <w:basedOn w:val="List3"/>
    <w:rsid w:val="001D4A9C"/>
    <w:pPr>
      <w:numPr>
        <w:numId w:val="3"/>
      </w:numPr>
    </w:pPr>
  </w:style>
  <w:style w:type="paragraph" w:styleId="ListNumber4">
    <w:name w:val="List Number 4"/>
    <w:basedOn w:val="List4"/>
    <w:rsid w:val="001D4A9C"/>
    <w:pPr>
      <w:numPr>
        <w:numId w:val="4"/>
      </w:numPr>
    </w:pPr>
  </w:style>
  <w:style w:type="paragraph" w:styleId="ListNumber5">
    <w:name w:val="List Number 5"/>
    <w:basedOn w:val="List5"/>
    <w:rsid w:val="001D4A9C"/>
    <w:pPr>
      <w:numPr>
        <w:numId w:val="5"/>
      </w:numPr>
    </w:pPr>
  </w:style>
  <w:style w:type="paragraph" w:styleId="BlockText">
    <w:name w:val="Block Text"/>
    <w:basedOn w:val="Normal"/>
    <w:rsid w:val="001D4A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4A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4A9C"/>
    <w:rPr>
      <w:sz w:val="16"/>
      <w:vertAlign w:val="superscript"/>
    </w:rPr>
  </w:style>
  <w:style w:type="character" w:customStyle="1" w:styleId="Symbols">
    <w:name w:val="Symbols"/>
    <w:basedOn w:val="DefaultParagraphFont"/>
    <w:rsid w:val="001D4A9C"/>
    <w:rPr>
      <w:rFonts w:ascii="Symbol" w:hAnsi="Symbol"/>
    </w:rPr>
  </w:style>
  <w:style w:type="character" w:customStyle="1" w:styleId="MenuOptions">
    <w:name w:val="Menu Options"/>
    <w:basedOn w:val="DefaultParagraphFont"/>
    <w:rsid w:val="001D4A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4A9C"/>
    <w:rPr>
      <w:b/>
    </w:rPr>
  </w:style>
  <w:style w:type="character" w:customStyle="1" w:styleId="Underlined">
    <w:name w:val="Underlined"/>
    <w:basedOn w:val="DefaultParagraphFont"/>
    <w:rsid w:val="001D4A9C"/>
    <w:rPr>
      <w:u w:val="single"/>
    </w:rPr>
  </w:style>
  <w:style w:type="paragraph" w:customStyle="1" w:styleId="TableBodyTextRight">
    <w:name w:val="Table Body Text Right"/>
    <w:basedOn w:val="TableBodyText"/>
    <w:rsid w:val="001D4A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4A9C"/>
    <w:rPr>
      <w:sz w:val="18"/>
    </w:rPr>
  </w:style>
  <w:style w:type="paragraph" w:customStyle="1" w:styleId="BodySmallRight">
    <w:name w:val="Body Small Right"/>
    <w:basedOn w:val="BodyTextRight"/>
    <w:rsid w:val="001D4A9C"/>
    <w:rPr>
      <w:sz w:val="18"/>
      <w:szCs w:val="18"/>
    </w:rPr>
  </w:style>
  <w:style w:type="paragraph" w:customStyle="1" w:styleId="MarginEdition">
    <w:name w:val="Margin Edition"/>
    <w:basedOn w:val="MarginNote"/>
    <w:rsid w:val="001D4A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4A9C"/>
    <w:rPr>
      <w:sz w:val="2"/>
      <w:szCs w:val="2"/>
    </w:rPr>
  </w:style>
  <w:style w:type="character" w:customStyle="1" w:styleId="Small">
    <w:name w:val="Small"/>
    <w:basedOn w:val="DefaultParagraphFont"/>
    <w:rsid w:val="001D4A9C"/>
    <w:rPr>
      <w:sz w:val="16"/>
    </w:rPr>
  </w:style>
  <w:style w:type="paragraph" w:customStyle="1" w:styleId="WideTable">
    <w:name w:val="Wide Table"/>
    <w:basedOn w:val="Normal"/>
    <w:rsid w:val="001D4A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4A9C"/>
  </w:style>
  <w:style w:type="paragraph" w:styleId="Quote">
    <w:name w:val="Quote"/>
    <w:basedOn w:val="Heading1"/>
    <w:link w:val="QuoteChar"/>
    <w:qFormat/>
    <w:rsid w:val="001D4A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4A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4A9C"/>
    <w:pPr>
      <w:pageBreakBefore/>
    </w:pPr>
  </w:style>
  <w:style w:type="paragraph" w:customStyle="1" w:styleId="Border">
    <w:name w:val="Border"/>
    <w:basedOn w:val="Normal"/>
    <w:qFormat/>
    <w:rsid w:val="001D4A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4A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4A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4A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4A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4A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4A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4A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4A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4A9C"/>
    <w:rPr>
      <w:u w:val="single"/>
    </w:rPr>
  </w:style>
  <w:style w:type="character" w:customStyle="1" w:styleId="BoldandItalics">
    <w:name w:val="Bold and Italics"/>
    <w:qFormat/>
    <w:rsid w:val="001D4A9C"/>
    <w:rPr>
      <w:b/>
      <w:i/>
      <w:u w:val="none"/>
    </w:rPr>
  </w:style>
  <w:style w:type="paragraph" w:styleId="BalloonText">
    <w:name w:val="Balloon Text"/>
    <w:basedOn w:val="Normal"/>
    <w:link w:val="BalloonTextChar"/>
    <w:rsid w:val="001D4A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4A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4A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4A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4A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4A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4A9C"/>
    <w:pPr>
      <w:spacing w:before="0" w:after="0"/>
    </w:pPr>
  </w:style>
  <w:style w:type="paragraph" w:customStyle="1" w:styleId="BodyTextBold">
    <w:name w:val="Body Text Bold"/>
    <w:basedOn w:val="BodyText"/>
    <w:qFormat/>
    <w:rsid w:val="001D4A9C"/>
    <w:rPr>
      <w:b/>
    </w:rPr>
  </w:style>
  <w:style w:type="character" w:styleId="Hyperlink">
    <w:name w:val="Hyperlink"/>
    <w:basedOn w:val="DefaultParagraphFont"/>
    <w:uiPriority w:val="99"/>
    <w:unhideWhenUsed/>
    <w:rsid w:val="00970D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559</Words>
  <Characters>3673</Characters>
  <Application>Microsoft Office Word</Application>
  <DocSecurity>0</DocSecurity>
  <Lines>153</Lines>
  <Paragraphs>75</Paragraphs>
  <ScaleCrop>false</ScaleCrop>
  <Company>Author-it Software Corporation Ltd.</Company>
  <LinksUpToDate>false</LinksUpToDate>
  <CharactersWithSpaces>4157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CPCCON3050 Carry out high-performance concreting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2024-12-24T01:22:00Z</dcterms:created>
  <dcterms:modified xsi:type="dcterms:W3CDTF">2024-12-24T01:22:00Z</dcterms:modified>
</cp:coreProperties>
</file>