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055" w:rsidP="00020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CPCCON3048 Construct tilt panels on site</w:t>
      </w:r>
      <w:r>
        <w:fldChar w:fldCharType="end"/>
      </w:r>
    </w:p>
    <w:p w:rsidR="00020055" w:rsidP="00020055">
      <w:pPr>
        <w:pStyle w:val="Version"/>
        <w:sectPr w:rsidSect="00D50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C50" w:rsidP="00D50C50">
      <w:pPr>
        <w:pStyle w:val="SuperHeading"/>
      </w:pPr>
      <w:r w:rsidRPr="00D50C50">
        <w:t>CPCCON3048 Construct tilt panels on site</w:t>
      </w:r>
    </w:p>
    <w:p w:rsidR="00000000" w:rsidRPr="00D50C50" w:rsidP="00D50C50">
      <w:pPr>
        <w:pStyle w:val="Heading1"/>
      </w:pPr>
      <w:bookmarkStart w:id="1" w:name="O_1293456"/>
      <w:bookmarkEnd w:id="1"/>
      <w:r w:rsidRPr="00D50C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230"/>
      </w:tblGrid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Updated reference to general construction induction training program.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50" w:rsidP="00D50C50">
            <w:pPr>
              <w:pStyle w:val="BodyText"/>
            </w:pPr>
            <w:r w:rsidRPr="00D50C50">
              <w:t>This version first released with CPC Construction, Plumbing and Services Training Package Release 5.0.</w:t>
            </w:r>
          </w:p>
          <w:p w:rsidR="00000000" w:rsidRPr="00D50C50" w:rsidP="00D50C50">
            <w:pPr>
              <w:pStyle w:val="BodyText"/>
            </w:pPr>
            <w:r w:rsidRPr="00D50C50">
              <w:t>Supersedes and is equivalent to CPCCCO304</w:t>
            </w:r>
            <w:r w:rsidRPr="00D50C50">
              <w:t>8 Construct tilt panels on site.</w:t>
            </w:r>
          </w:p>
        </w:tc>
      </w:tr>
    </w:tbl>
    <w:p w:rsidR="00000000" w:rsidRPr="00D50C50" w:rsidP="00D50C50">
      <w:pPr>
        <w:pStyle w:val="BodyText"/>
      </w:pPr>
    </w:p>
    <w:p w:rsidR="00000000" w:rsidRPr="00D50C50" w:rsidP="00D50C50">
      <w:pPr>
        <w:pStyle w:val="AllowPageBreak"/>
      </w:pPr>
    </w:p>
    <w:p w:rsidR="00000000" w:rsidRPr="00D50C50" w:rsidP="00D50C50">
      <w:pPr>
        <w:pStyle w:val="Heading1"/>
      </w:pPr>
      <w:bookmarkStart w:id="2" w:name="O_1293455"/>
      <w:bookmarkEnd w:id="2"/>
      <w:r w:rsidRPr="00D50C50">
        <w:t>Application</w:t>
      </w:r>
    </w:p>
    <w:p w:rsidR="00000000" w:rsidRPr="00D50C50" w:rsidP="00020055">
      <w:pPr>
        <w:pStyle w:val="BodyText"/>
      </w:pPr>
      <w:r w:rsidRPr="00D50C50">
        <w:t>This unit of competency specifies the skills and knowledge required to work in a team to set up, pour and place concrete tilt panels to form internal and external walls for building structur</w:t>
      </w:r>
      <w:r w:rsidRPr="00D50C50">
        <w:t xml:space="preserve">es. It includes on-site and prefabricated methods of panel construction. </w:t>
      </w:r>
    </w:p>
    <w:p w:rsidR="00000000" w:rsidRPr="00D50C50" w:rsidP="00020055">
      <w:pPr>
        <w:pStyle w:val="BodyText"/>
      </w:pPr>
      <w:r w:rsidRPr="00D50C50">
        <w:t>A person who has achieved this unit of competency would be expected to take responsibility for organising and completing these tasks with a high degree of self-direction.</w:t>
      </w:r>
    </w:p>
    <w:p w:rsidR="00000000" w:rsidRPr="00D50C50" w:rsidP="00020055">
      <w:pPr>
        <w:pStyle w:val="BodyText"/>
      </w:pPr>
      <w:r w:rsidRPr="00D50C50">
        <w:t xml:space="preserve">Licensing, </w:t>
      </w:r>
      <w:r w:rsidRPr="00D50C50">
        <w:t>legislative, regulatory or certification requirements apply to this unit of competency in some states and territories. For further information, check with the relevant regulatory authority.</w:t>
      </w:r>
    </w:p>
    <w:p w:rsidR="00000000" w:rsidRPr="00D50C50" w:rsidP="00020055">
      <w:pPr>
        <w:pStyle w:val="BodyText"/>
      </w:pPr>
      <w:r w:rsidRPr="00D50C50">
        <w:t>Completion of the general construction induction training program,</w:t>
      </w:r>
      <w:r w:rsidRPr="00D50C50">
        <w:t xml:space="preserve"> specified in the Safe Work Australia model </w:t>
      </w:r>
      <w:r w:rsidRPr="00D50C50">
        <w:rPr>
          <w:rStyle w:val="Emphasis"/>
        </w:rPr>
        <w:t>Code of Practice: Construction Work</w:t>
      </w:r>
      <w:r w:rsidRPr="00D50C50">
        <w:t xml:space="preserve">, is required by anyone carrying out construction work. Achievement of </w:t>
      </w:r>
      <w:r w:rsidRPr="00D50C50">
        <w:rPr>
          <w:rStyle w:val="Emphasis"/>
        </w:rPr>
        <w:t>CPCWHS1001</w:t>
      </w:r>
      <w:r w:rsidRPr="00D50C50">
        <w:t> </w:t>
      </w:r>
      <w:r w:rsidRPr="00D50C50">
        <w:rPr>
          <w:rStyle w:val="Emphasis"/>
        </w:rPr>
        <w:t>Prepare to work safely in the construction industry</w:t>
      </w:r>
      <w:r w:rsidRPr="00D50C50">
        <w:t> meets this requirement.</w:t>
      </w:r>
    </w:p>
    <w:p w:rsidR="00000000" w:rsidRPr="00D50C50" w:rsidP="00D50C50">
      <w:pPr>
        <w:pStyle w:val="Heading1"/>
      </w:pPr>
      <w:bookmarkStart w:id="3" w:name="O_1293454"/>
      <w:bookmarkEnd w:id="3"/>
      <w:r w:rsidRPr="00D50C50">
        <w:t>Pre-requisite Unit</w:t>
      </w:r>
    </w:p>
    <w:p w:rsidR="00000000" w:rsidRPr="00D50C50" w:rsidP="00020055">
      <w:pPr>
        <w:pStyle w:val="BodyText"/>
      </w:pPr>
      <w:r w:rsidRPr="00D50C50">
        <w:t>CPCCWHS2001 Apply WHS requirements, policies and procedures in the construction industry</w:t>
      </w:r>
    </w:p>
    <w:p w:rsidR="00000000" w:rsidRPr="00D50C50" w:rsidP="00D50C50">
      <w:pPr>
        <w:pStyle w:val="Heading1"/>
      </w:pPr>
      <w:bookmarkStart w:id="4" w:name="O_1293453"/>
      <w:bookmarkEnd w:id="4"/>
      <w:r w:rsidRPr="00D50C50">
        <w:t>Unit Sector</w:t>
      </w:r>
    </w:p>
    <w:p w:rsidR="00000000" w:rsidRPr="00D50C50" w:rsidP="00020055">
      <w:pPr>
        <w:pStyle w:val="BodyText"/>
      </w:pPr>
      <w:r w:rsidRPr="00D50C50">
        <w:t>Concreting</w:t>
      </w:r>
    </w:p>
    <w:p w:rsidR="00000000" w:rsidRPr="00D50C50" w:rsidP="00D50C50">
      <w:pPr>
        <w:pStyle w:val="Heading1"/>
      </w:pPr>
      <w:bookmarkStart w:id="5" w:name="O_1293452"/>
      <w:bookmarkEnd w:id="5"/>
      <w:r w:rsidRPr="00D50C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Performanc</w:t>
            </w:r>
            <w:r w:rsidRPr="00D50C50">
              <w:t>e criteria describe what needs to be done to demonstrate achievement of the element.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Plan and prepare to construct tilt panels 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Interpret tilt panel design specifications and drawings and clarify construction requirements with relevant pers</w:t>
            </w:r>
            <w:r w:rsidRPr="00D50C50">
              <w:t>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Plan work tasks to comply with relevant legislation, regulations, standards, codes, work health and safety (WHS), environmental and workplace requirements.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Select and fit required personal protective equipment (PPE).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Inspect work site, assess hazards and apply risk controls, including required signage and barricades.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Select plant, tools and equipment, check for serviceability and rectify or report any faults.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Calculate and acquire material quantities to meet task specifications and safely locate materials ready for use.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Set out and construct temporary casting bed.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Select suitable area to construct casting bed in accordance with work instructions.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Prepare ground to a flat surface in readiness for casting bed.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Place and finish casting bed to meet work instructions.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Coat casting bed with bond breaker in accordance with product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Set out work and prepare formwork for panel.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Set out location and size of tilt panel in accordance with drawings and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Prepare, place and fix tilt panel edge formwork, and plumb and align to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Apply bond breake</w:t>
            </w:r>
            <w:r w:rsidRPr="00D50C50">
              <w:t>r to casting bed face or casting form face of previous panel to ensure ease of panel separation, in accordance with manufacturer requirements for dose and quantity.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Apply form release agent to formwork in accordance with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Place and tie reinforcement and cast-in fittings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Check reinforcement, accessories and cast-in fittings for conformity with design and engineering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 xml:space="preserve">Position reinforcement, </w:t>
            </w:r>
            <w:r w:rsidRPr="00D50C50">
              <w:t>accessories and cast-in fittings in accordance with engineering drawings and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Tie reinforcement in correct placement in accordance with engineering drawings and specifications.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Place, finish and cure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Place concrete evenly and consolidate to specification using approved vibration method.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Screed and finish concrete surface to specification ensuring cast-in fittings are clear.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Apply required curing process.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Strip edge formwork after final panel is cast, ensuring no damage to panels.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Clear work area and dispose of, reuse or recycle materials in accordance with regulatory and workplace requirements.</w:t>
            </w:r>
          </w:p>
        </w:tc>
      </w:tr>
      <w:tr w:rsidTr="00D50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50">
            <w:pPr>
              <w:pStyle w:val="BodyText"/>
              <w:rPr>
                <w:lang w:val="en-NZ"/>
              </w:rPr>
            </w:pPr>
            <w:r w:rsidRPr="00D50C5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50" w:rsidP="00D50C50">
            <w:pPr>
              <w:pStyle w:val="BodyText"/>
            </w:pPr>
            <w:r w:rsidRPr="00D50C50">
              <w:t>Clean, check, maintain and store plant, tools and equipment in accordance with manufacturer and workplace requirements.</w:t>
            </w:r>
          </w:p>
        </w:tc>
      </w:tr>
    </w:tbl>
    <w:p w:rsidR="00000000" w:rsidRPr="00D50C50" w:rsidP="00D50C50">
      <w:pPr>
        <w:pStyle w:val="BodyText"/>
      </w:pPr>
    </w:p>
    <w:p w:rsidR="00000000" w:rsidRPr="00D50C50" w:rsidP="00D50C50">
      <w:pPr>
        <w:pStyle w:val="AllowPageBreak"/>
      </w:pPr>
    </w:p>
    <w:p w:rsidR="00000000" w:rsidRPr="00D50C50" w:rsidP="00D50C50">
      <w:pPr>
        <w:pStyle w:val="Heading1"/>
      </w:pPr>
      <w:bookmarkStart w:id="6" w:name="O_1293451"/>
      <w:bookmarkEnd w:id="6"/>
      <w:r w:rsidRPr="00D50C50">
        <w:t>Foundation Skills</w:t>
      </w:r>
    </w:p>
    <w:p w:rsidR="00000000" w:rsidRPr="00D50C50" w:rsidP="00020055">
      <w:pPr>
        <w:pStyle w:val="BodyText"/>
      </w:pPr>
      <w:r w:rsidRPr="00D50C50">
        <w:t xml:space="preserve">Foundation skills essential to performance are explicit in the performance criteria of this unit </w:t>
      </w:r>
      <w:r w:rsidRPr="00D50C50">
        <w:t xml:space="preserve">of competency. </w:t>
      </w:r>
    </w:p>
    <w:p w:rsidR="00000000" w:rsidRPr="00D50C50" w:rsidP="00D50C50">
      <w:pPr>
        <w:pStyle w:val="Heading1"/>
      </w:pPr>
      <w:bookmarkStart w:id="7" w:name="O_1293450"/>
      <w:bookmarkEnd w:id="7"/>
      <w:r w:rsidRPr="00D50C50">
        <w:t>Unit Mapping Information</w:t>
      </w:r>
    </w:p>
    <w:p w:rsidR="00000000" w:rsidRPr="00D50C50" w:rsidP="00020055">
      <w:pPr>
        <w:pStyle w:val="BodyText"/>
      </w:pPr>
      <w:r w:rsidRPr="00D50C50">
        <w:t>Supersedes and is equivalent to CPCCCO3048 Construct tilt panels on site.</w:t>
      </w:r>
    </w:p>
    <w:p w:rsidR="00000000" w:rsidRPr="00D50C50" w:rsidP="00D50C50">
      <w:pPr>
        <w:pStyle w:val="Heading1"/>
      </w:pPr>
      <w:bookmarkStart w:id="8" w:name="O_1293457"/>
      <w:bookmarkEnd w:id="8"/>
      <w:r w:rsidRPr="00D50C50">
        <w:t>Links</w:t>
      </w:r>
    </w:p>
    <w:p w:rsidR="00000000" w:rsidRPr="00D50C50" w:rsidP="00020055">
      <w:pPr>
        <w:pStyle w:val="BodyText"/>
      </w:pPr>
      <w:r w:rsidRPr="00D50C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486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0C50" w:rsidP="00D50C50"/>
    <w:sectPr w:rsidSect="00D50C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50" w:rsidRPr="00020055" w:rsidP="00020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5" w:rsidP="00D50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055" w:rsidP="00D50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0055" w:rsidP="00D50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C50" w:rsidRPr="00020055" w:rsidP="00020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5" w:rsidRPr="002D2AF8" w:rsidP="00D50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CPCCON3048 Construct tilt panels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20055" w:rsidP="00D50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C50"/>
  </w:style>
  <w:style w:type="character" w:customStyle="1" w:styleId="Heading1Char">
    <w:name w:val="Heading 1 Char"/>
    <w:basedOn w:val="DefaultParagraphFont"/>
    <w:link w:val="Heading1"/>
    <w:rsid w:val="00D50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C5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50C50"/>
    <w:rPr>
      <w:i/>
    </w:rPr>
  </w:style>
  <w:style w:type="paragraph" w:customStyle="1" w:styleId="SuperHeading">
    <w:name w:val="SuperHeading"/>
    <w:basedOn w:val="Normal"/>
    <w:rsid w:val="00D50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C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C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0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C50"/>
    <w:rPr>
      <w:b/>
      <w:spacing w:val="0"/>
    </w:rPr>
  </w:style>
  <w:style w:type="paragraph" w:customStyle="1" w:styleId="SuperTitle">
    <w:name w:val="SuperTitle"/>
    <w:basedOn w:val="Title"/>
    <w:rsid w:val="00D50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C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C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C50"/>
  </w:style>
  <w:style w:type="paragraph" w:styleId="TableofFigures">
    <w:name w:val="table of figures"/>
    <w:basedOn w:val="Normal"/>
    <w:next w:val="Normal"/>
    <w:semiHidden/>
    <w:rsid w:val="00D50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C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0C50"/>
    <w:rPr>
      <w:rFonts w:ascii="Wingdings" w:hAnsi="Wingdings"/>
    </w:rPr>
  </w:style>
  <w:style w:type="paragraph" w:customStyle="1" w:styleId="TableHeading">
    <w:name w:val="Table Heading"/>
    <w:basedOn w:val="HeadingBase"/>
    <w:rsid w:val="00D50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C50"/>
    <w:rPr>
      <w:color w:val="0033CC"/>
      <w:u w:val="none"/>
    </w:rPr>
  </w:style>
  <w:style w:type="paragraph" w:customStyle="1" w:styleId="BodyTextRight">
    <w:name w:val="Body Text Right"/>
    <w:basedOn w:val="BodyText"/>
    <w:rsid w:val="00D50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C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C50"/>
    <w:rPr>
      <w:sz w:val="32"/>
    </w:rPr>
  </w:style>
  <w:style w:type="paragraph" w:customStyle="1" w:styleId="HeadingProcedure">
    <w:name w:val="Heading Procedure"/>
    <w:basedOn w:val="HeadingBase"/>
    <w:next w:val="Normal"/>
    <w:rsid w:val="00D50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C50"/>
    <w:pPr>
      <w:spacing w:before="60" w:after="60"/>
    </w:pPr>
  </w:style>
  <w:style w:type="paragraph" w:styleId="ListContinue">
    <w:name w:val="List Continue"/>
    <w:basedOn w:val="List"/>
    <w:rsid w:val="00D50C50"/>
    <w:pPr>
      <w:ind w:firstLine="0"/>
    </w:pPr>
  </w:style>
  <w:style w:type="paragraph" w:customStyle="1" w:styleId="ListNote">
    <w:name w:val="List Note"/>
    <w:basedOn w:val="List"/>
    <w:rsid w:val="00D50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C50"/>
    <w:rPr>
      <w:rFonts w:ascii="Courier New" w:hAnsi="Courier New"/>
    </w:rPr>
  </w:style>
  <w:style w:type="paragraph" w:customStyle="1" w:styleId="NoteBullet">
    <w:name w:val="Note Bullet"/>
    <w:basedOn w:val="Note"/>
    <w:rsid w:val="00D50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C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0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C50"/>
    <w:rPr>
      <w:b/>
      <w:smallCaps/>
    </w:rPr>
  </w:style>
  <w:style w:type="paragraph" w:customStyle="1" w:styleId="TableListNumber">
    <w:name w:val="Table List Number"/>
    <w:basedOn w:val="ListNumber"/>
    <w:rsid w:val="00D50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C50"/>
    <w:pPr>
      <w:numPr>
        <w:numId w:val="7"/>
      </w:numPr>
    </w:pPr>
  </w:style>
  <w:style w:type="paragraph" w:customStyle="1" w:styleId="ListAlpha2">
    <w:name w:val="List Alpha 2"/>
    <w:basedOn w:val="List2"/>
    <w:rsid w:val="00D50C50"/>
    <w:pPr>
      <w:numPr>
        <w:numId w:val="6"/>
      </w:numPr>
    </w:pPr>
  </w:style>
  <w:style w:type="paragraph" w:styleId="List2">
    <w:name w:val="List 2"/>
    <w:basedOn w:val="BodyText"/>
    <w:rsid w:val="00D50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C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C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0C50"/>
    <w:pPr>
      <w:numPr>
        <w:numId w:val="2"/>
      </w:numPr>
    </w:pPr>
  </w:style>
  <w:style w:type="paragraph" w:styleId="ListContinue2">
    <w:name w:val="List Continue 2"/>
    <w:basedOn w:val="List2"/>
    <w:rsid w:val="00D50C50"/>
    <w:pPr>
      <w:ind w:firstLine="0"/>
    </w:pPr>
  </w:style>
  <w:style w:type="paragraph" w:styleId="ListContinue3">
    <w:name w:val="List Continue 3"/>
    <w:basedOn w:val="List3"/>
    <w:rsid w:val="00D50C50"/>
    <w:pPr>
      <w:ind w:left="1021" w:firstLine="0"/>
    </w:pPr>
  </w:style>
  <w:style w:type="paragraph" w:styleId="ListContinue4">
    <w:name w:val="List Continue 4"/>
    <w:basedOn w:val="List4"/>
    <w:rsid w:val="00D50C50"/>
    <w:pPr>
      <w:ind w:firstLine="0"/>
    </w:pPr>
  </w:style>
  <w:style w:type="paragraph" w:styleId="ListContinue5">
    <w:name w:val="List Continue 5"/>
    <w:basedOn w:val="List5"/>
    <w:rsid w:val="00D50C50"/>
    <w:pPr>
      <w:ind w:firstLine="0"/>
    </w:pPr>
  </w:style>
  <w:style w:type="paragraph" w:styleId="ListNumber3">
    <w:name w:val="List Number 3"/>
    <w:basedOn w:val="List3"/>
    <w:rsid w:val="00D50C50"/>
    <w:pPr>
      <w:numPr>
        <w:numId w:val="3"/>
      </w:numPr>
    </w:pPr>
  </w:style>
  <w:style w:type="paragraph" w:styleId="ListNumber4">
    <w:name w:val="List Number 4"/>
    <w:basedOn w:val="List4"/>
    <w:rsid w:val="00D50C50"/>
    <w:pPr>
      <w:numPr>
        <w:numId w:val="4"/>
      </w:numPr>
    </w:pPr>
  </w:style>
  <w:style w:type="paragraph" w:styleId="ListNumber5">
    <w:name w:val="List Number 5"/>
    <w:basedOn w:val="List5"/>
    <w:rsid w:val="00D50C50"/>
    <w:pPr>
      <w:numPr>
        <w:numId w:val="5"/>
      </w:numPr>
    </w:pPr>
  </w:style>
  <w:style w:type="paragraph" w:styleId="BlockText">
    <w:name w:val="Block Text"/>
    <w:basedOn w:val="Normal"/>
    <w:rsid w:val="00D50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C50"/>
    <w:rPr>
      <w:sz w:val="16"/>
      <w:vertAlign w:val="superscript"/>
    </w:rPr>
  </w:style>
  <w:style w:type="character" w:customStyle="1" w:styleId="Symbols">
    <w:name w:val="Symbols"/>
    <w:basedOn w:val="DefaultParagraphFont"/>
    <w:rsid w:val="00D50C50"/>
    <w:rPr>
      <w:rFonts w:ascii="Symbol" w:hAnsi="Symbol"/>
    </w:rPr>
  </w:style>
  <w:style w:type="character" w:customStyle="1" w:styleId="MenuOptions">
    <w:name w:val="Menu Options"/>
    <w:basedOn w:val="DefaultParagraphFont"/>
    <w:rsid w:val="00D50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C50"/>
    <w:rPr>
      <w:b/>
    </w:rPr>
  </w:style>
  <w:style w:type="character" w:customStyle="1" w:styleId="Underlined">
    <w:name w:val="Underlined"/>
    <w:basedOn w:val="DefaultParagraphFont"/>
    <w:rsid w:val="00D50C50"/>
    <w:rPr>
      <w:u w:val="single"/>
    </w:rPr>
  </w:style>
  <w:style w:type="paragraph" w:customStyle="1" w:styleId="TableBodyTextRight">
    <w:name w:val="Table Body Text Right"/>
    <w:basedOn w:val="TableBodyText"/>
    <w:rsid w:val="00D50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C50"/>
    <w:rPr>
      <w:sz w:val="18"/>
    </w:rPr>
  </w:style>
  <w:style w:type="paragraph" w:customStyle="1" w:styleId="BodySmallRight">
    <w:name w:val="Body Small Right"/>
    <w:basedOn w:val="BodyTextRight"/>
    <w:rsid w:val="00D50C50"/>
    <w:rPr>
      <w:sz w:val="18"/>
      <w:szCs w:val="18"/>
    </w:rPr>
  </w:style>
  <w:style w:type="paragraph" w:customStyle="1" w:styleId="MarginEdition">
    <w:name w:val="Margin Edition"/>
    <w:basedOn w:val="MarginNote"/>
    <w:rsid w:val="00D50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C50"/>
    <w:rPr>
      <w:sz w:val="2"/>
      <w:szCs w:val="2"/>
    </w:rPr>
  </w:style>
  <w:style w:type="character" w:customStyle="1" w:styleId="Small">
    <w:name w:val="Small"/>
    <w:basedOn w:val="DefaultParagraphFont"/>
    <w:rsid w:val="00D50C50"/>
    <w:rPr>
      <w:sz w:val="16"/>
    </w:rPr>
  </w:style>
  <w:style w:type="paragraph" w:customStyle="1" w:styleId="WideTable">
    <w:name w:val="Wide Table"/>
    <w:basedOn w:val="Normal"/>
    <w:rsid w:val="00D50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C50"/>
  </w:style>
  <w:style w:type="paragraph" w:styleId="Quote">
    <w:name w:val="Quote"/>
    <w:basedOn w:val="Heading1"/>
    <w:link w:val="QuoteChar"/>
    <w:qFormat/>
    <w:rsid w:val="00D50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C50"/>
    <w:pPr>
      <w:pageBreakBefore/>
    </w:pPr>
  </w:style>
  <w:style w:type="paragraph" w:customStyle="1" w:styleId="Border">
    <w:name w:val="Border"/>
    <w:basedOn w:val="Normal"/>
    <w:qFormat/>
    <w:rsid w:val="00D50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C50"/>
    <w:rPr>
      <w:u w:val="single"/>
    </w:rPr>
  </w:style>
  <w:style w:type="character" w:customStyle="1" w:styleId="BoldandItalics">
    <w:name w:val="Bold and Italics"/>
    <w:qFormat/>
    <w:rsid w:val="00D50C50"/>
    <w:rPr>
      <w:b/>
      <w:i/>
      <w:u w:val="none"/>
    </w:rPr>
  </w:style>
  <w:style w:type="paragraph" w:styleId="BalloonText">
    <w:name w:val="Balloon Text"/>
    <w:basedOn w:val="Normal"/>
    <w:link w:val="BalloonTextChar"/>
    <w:rsid w:val="00D50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C50"/>
    <w:pPr>
      <w:spacing w:before="0" w:after="0"/>
    </w:pPr>
  </w:style>
  <w:style w:type="paragraph" w:customStyle="1" w:styleId="BodyTextBold">
    <w:name w:val="Body Text Bold"/>
    <w:basedOn w:val="BodyText"/>
    <w:qFormat/>
    <w:rsid w:val="00D50C50"/>
    <w:rPr>
      <w:b/>
    </w:rPr>
  </w:style>
  <w:style w:type="character" w:styleId="Hyperlink">
    <w:name w:val="Hyperlink"/>
    <w:basedOn w:val="DefaultParagraphFont"/>
    <w:uiPriority w:val="99"/>
    <w:unhideWhenUsed/>
    <w:rsid w:val="00020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4136</Characters>
  <Application>Microsoft Office Word</Application>
  <DocSecurity>0</DocSecurity>
  <Lines>196</Lines>
  <Paragraphs>102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CPCCON3048 Construct tilt panels on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