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D2A" w:rsidP="00383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CPCCON3047 Cut concrete</w:t>
      </w:r>
      <w:r>
        <w:fldChar w:fldCharType="end"/>
      </w:r>
    </w:p>
    <w:p w:rsidR="00383D2A" w:rsidP="00383D2A">
      <w:pPr>
        <w:pStyle w:val="Version"/>
        <w:sectPr w:rsidSect="000B3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1C5" w:rsidP="000B31C5">
      <w:pPr>
        <w:pStyle w:val="SuperHeading"/>
      </w:pPr>
      <w:r w:rsidRPr="000B31C5">
        <w:t>CPCCON3047 Cut concrete</w:t>
      </w:r>
    </w:p>
    <w:p w:rsidR="00000000" w:rsidRPr="000B31C5" w:rsidP="000B31C5">
      <w:pPr>
        <w:pStyle w:val="Heading1"/>
      </w:pPr>
      <w:bookmarkStart w:id="1" w:name="O_1293472"/>
      <w:bookmarkEnd w:id="1"/>
      <w:r w:rsidRPr="000B3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Updated reference to general construction induction training program.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C5" w:rsidP="000B31C5">
            <w:pPr>
              <w:pStyle w:val="BodyText"/>
            </w:pPr>
            <w:r w:rsidRPr="000B31C5">
              <w:t>This version first released with CPC Construction, Plumbing and Services Training Package Release 5.0.</w:t>
            </w:r>
          </w:p>
          <w:p w:rsidR="00000000" w:rsidRPr="000B31C5" w:rsidP="000B31C5">
            <w:pPr>
              <w:pStyle w:val="BodyText"/>
            </w:pPr>
            <w:r w:rsidRPr="000B31C5">
              <w:t>Supersedes and is not equivalent to CPCCC</w:t>
            </w:r>
            <w:r w:rsidRPr="000B31C5">
              <w:t>O3047 Cut and core concrete.</w:t>
            </w:r>
          </w:p>
        </w:tc>
      </w:tr>
    </w:tbl>
    <w:p w:rsidR="00000000" w:rsidRPr="000B31C5" w:rsidP="000B31C5">
      <w:pPr>
        <w:pStyle w:val="BodyText"/>
      </w:pPr>
    </w:p>
    <w:p w:rsidR="00000000" w:rsidRPr="000B31C5" w:rsidP="000B31C5">
      <w:pPr>
        <w:pStyle w:val="AllowPageBreak"/>
      </w:pPr>
    </w:p>
    <w:p w:rsidR="00000000" w:rsidRPr="000B31C5" w:rsidP="000B31C5">
      <w:pPr>
        <w:pStyle w:val="Heading1"/>
      </w:pPr>
      <w:bookmarkStart w:id="2" w:name="O_1293471"/>
      <w:bookmarkEnd w:id="2"/>
      <w:r w:rsidRPr="000B31C5">
        <w:t>Application</w:t>
      </w:r>
    </w:p>
    <w:p w:rsidR="00000000" w:rsidRPr="000B31C5" w:rsidP="00383D2A">
      <w:pPr>
        <w:pStyle w:val="BodyText"/>
      </w:pPr>
      <w:r w:rsidRPr="000B31C5">
        <w:t>This unit of competency specifies the skills and knowledge required to safely cut concrete.  It requires using concrete and masonry saws to cut concrete to specification.</w:t>
      </w:r>
    </w:p>
    <w:p w:rsidR="00000000" w:rsidRPr="000B31C5" w:rsidP="00383D2A">
      <w:pPr>
        <w:pStyle w:val="BodyText"/>
      </w:pPr>
      <w:r w:rsidRPr="000B31C5">
        <w:t>A person who has achiev</w:t>
      </w:r>
      <w:r w:rsidRPr="000B31C5">
        <w:t>ed this unit of competency would be expected to take responsibility for organising and completing these tasks with a high degree of self-direction.</w:t>
      </w:r>
    </w:p>
    <w:p w:rsidR="00000000" w:rsidRPr="000B31C5" w:rsidP="00383D2A">
      <w:pPr>
        <w:pStyle w:val="BodyText"/>
      </w:pPr>
      <w:r w:rsidRPr="000B31C5">
        <w:t>Licensing, legislative, regulatory or certification requirements apply to this unit of competency in some st</w:t>
      </w:r>
      <w:r w:rsidRPr="000B31C5">
        <w:t>ates and territories. For further information, check with the relevant regulatory authority.</w:t>
      </w:r>
    </w:p>
    <w:p w:rsidR="00000000" w:rsidRPr="000B31C5" w:rsidP="00383D2A">
      <w:pPr>
        <w:pStyle w:val="BodyText"/>
      </w:pPr>
      <w:r w:rsidRPr="000B31C5">
        <w:t>Completion of the general construction induction training program, specified in the Safe Work Australia model </w:t>
      </w:r>
      <w:r w:rsidRPr="000B31C5">
        <w:rPr>
          <w:rStyle w:val="Emphasis"/>
        </w:rPr>
        <w:t>Code of Practice: Construction Work</w:t>
      </w:r>
      <w:r w:rsidRPr="000B31C5">
        <w:t>, is required by a</w:t>
      </w:r>
      <w:r w:rsidRPr="000B31C5">
        <w:t xml:space="preserve">nyone carrying out construction work. Achievement of </w:t>
      </w:r>
      <w:r w:rsidRPr="000B31C5">
        <w:rPr>
          <w:rStyle w:val="Emphasis"/>
        </w:rPr>
        <w:t>CPCWHS1001</w:t>
      </w:r>
      <w:r w:rsidRPr="000B31C5">
        <w:t> </w:t>
      </w:r>
      <w:r w:rsidRPr="000B31C5">
        <w:rPr>
          <w:rStyle w:val="Emphasis"/>
        </w:rPr>
        <w:t>Prepare to work safely in the construction industry</w:t>
      </w:r>
      <w:r w:rsidRPr="000B31C5">
        <w:t> meets this requirement.</w:t>
      </w:r>
    </w:p>
    <w:p w:rsidR="00000000" w:rsidRPr="000B31C5" w:rsidP="000B31C5">
      <w:pPr>
        <w:pStyle w:val="Heading1"/>
      </w:pPr>
      <w:bookmarkStart w:id="3" w:name="O_1293470"/>
      <w:bookmarkEnd w:id="3"/>
      <w:r w:rsidRPr="000B31C5">
        <w:t>Pre-requisite Unit</w:t>
      </w:r>
    </w:p>
    <w:p w:rsidR="00000000" w:rsidRPr="000B31C5" w:rsidP="00383D2A">
      <w:pPr>
        <w:pStyle w:val="BodyText"/>
      </w:pPr>
      <w:r w:rsidRPr="000B31C5">
        <w:t>CPCCWHS2001 Apply WHS requirements, policies and procedures in the construction industry</w:t>
      </w:r>
    </w:p>
    <w:p w:rsidR="00000000" w:rsidRPr="000B31C5" w:rsidP="000B31C5">
      <w:pPr>
        <w:pStyle w:val="Heading1"/>
      </w:pPr>
      <w:bookmarkStart w:id="4" w:name="O_1293469"/>
      <w:bookmarkEnd w:id="4"/>
      <w:r w:rsidRPr="000B31C5">
        <w:t>Unit Sector</w:t>
      </w:r>
    </w:p>
    <w:p w:rsidR="00000000" w:rsidRPr="000B31C5" w:rsidP="00383D2A">
      <w:pPr>
        <w:pStyle w:val="BodyText"/>
      </w:pPr>
      <w:r w:rsidRPr="000B31C5">
        <w:t>Concreting</w:t>
      </w:r>
    </w:p>
    <w:p w:rsidR="00000000" w:rsidRPr="000B31C5" w:rsidP="000B31C5">
      <w:pPr>
        <w:pStyle w:val="Heading1"/>
      </w:pPr>
      <w:bookmarkStart w:id="5" w:name="O_1293468"/>
      <w:bookmarkEnd w:id="5"/>
      <w:r w:rsidRPr="000B31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Performance criteria describe</w:t>
            </w:r>
            <w:r w:rsidRPr="000B31C5">
              <w:t xml:space="preserve"> what needs to be done to demonstrate achievement of the element.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Plan and prepare to cut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Interpret specifications for concrete cutting and clarify requirements with relevant persons.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Assess work site to determine concrete type, thickness, reinforcement and base type impacting cutting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Plan work tasks to comply with relevant legislation, regulations, standards and codes, and manufacturer, work health and safety (WHS)</w:t>
            </w:r>
            <w:r w:rsidRPr="000B31C5">
              <w:t>, environmental and workplace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Select and fit required personal protective equipment (PPE).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Inspect work site, assess hazards and apply risk controls, including required signage and barricades.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Select tools and equipment, check for serviceability and rectify or report any faults.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Carry out concrete cutting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Inspect concrete to assess its readiness for cutting and to prevent raveling, cracking and saw damage.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Conduct required measurements and calculations and mark cutting positions according to specifications.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Use tools and equipment safely to perform trial cuts according to manufacturer and workplace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Cut concrete according to specifications and quality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Control dust from concrete cutting activities according to workplace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Clear work area and dispose of, reuse or rec</w:t>
            </w:r>
            <w:r w:rsidRPr="000B31C5">
              <w:t>ycle materials according to regulatory and workplace requirements.</w:t>
            </w:r>
          </w:p>
        </w:tc>
      </w:tr>
      <w:tr w:rsidTr="000B3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C5">
            <w:pPr>
              <w:pStyle w:val="BodyText"/>
              <w:rPr>
                <w:lang w:val="en-NZ"/>
              </w:rPr>
            </w:pPr>
            <w:r w:rsidRPr="000B31C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C5" w:rsidP="000B31C5">
            <w:pPr>
              <w:pStyle w:val="BodyText"/>
            </w:pPr>
            <w:r w:rsidRPr="000B31C5">
              <w:t>Clean, check, maintain and store tools and equipment according to manufacturer and workplace requirements.</w:t>
            </w:r>
          </w:p>
        </w:tc>
      </w:tr>
    </w:tbl>
    <w:p w:rsidR="00383D2A" w:rsidP="000B31C5">
      <w:pPr>
        <w:pStyle w:val="BodyText"/>
      </w:pPr>
    </w:p>
    <w:p w:rsidR="00383D2A" w:rsidP="000B31C5">
      <w:pPr>
        <w:pStyle w:val="BodyText"/>
      </w:pPr>
    </w:p>
    <w:p w:rsidR="00000000" w:rsidRPr="000B31C5" w:rsidP="000B31C5">
      <w:pPr>
        <w:pStyle w:val="Heading1"/>
      </w:pPr>
      <w:bookmarkStart w:id="6" w:name="O_1293467"/>
      <w:bookmarkEnd w:id="6"/>
      <w:r w:rsidRPr="000B31C5">
        <w:t>Foundation Skills</w:t>
      </w:r>
    </w:p>
    <w:p w:rsidR="00000000" w:rsidRPr="000B31C5" w:rsidP="00383D2A">
      <w:pPr>
        <w:pStyle w:val="BodyText"/>
      </w:pPr>
      <w:r w:rsidRPr="000B31C5">
        <w:t xml:space="preserve">Foundation skills essential to performance are explicit in the performance criteria of this unit of competency. </w:t>
      </w:r>
    </w:p>
    <w:p w:rsidR="00000000" w:rsidRPr="000B31C5" w:rsidP="000B31C5">
      <w:pPr>
        <w:pStyle w:val="Heading1"/>
      </w:pPr>
      <w:bookmarkStart w:id="7" w:name="O_1293466"/>
      <w:bookmarkEnd w:id="7"/>
      <w:r w:rsidRPr="000B31C5">
        <w:t>Unit Mapping Information</w:t>
      </w:r>
    </w:p>
    <w:p w:rsidR="00000000" w:rsidRPr="000B31C5" w:rsidP="00383D2A">
      <w:pPr>
        <w:pStyle w:val="BodyText"/>
      </w:pPr>
      <w:r w:rsidRPr="000B31C5">
        <w:t>Supersedes and is not equivalent to CPCCCO3047 Cut and core concrete.</w:t>
      </w:r>
    </w:p>
    <w:p w:rsidR="00000000" w:rsidRPr="000B31C5" w:rsidP="000B31C5">
      <w:pPr>
        <w:pStyle w:val="Heading1"/>
      </w:pPr>
      <w:bookmarkStart w:id="8" w:name="O_1293473"/>
      <w:bookmarkEnd w:id="8"/>
      <w:r w:rsidRPr="000B31C5">
        <w:t>Links</w:t>
      </w:r>
    </w:p>
    <w:p w:rsidR="00000000" w:rsidRPr="000B31C5" w:rsidP="00383D2A">
      <w:pPr>
        <w:pStyle w:val="BodyText"/>
      </w:pPr>
      <w:r w:rsidRPr="000B31C5">
        <w:t>Comp</w:t>
      </w:r>
      <w:r w:rsidRPr="000B31C5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47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31C5" w:rsidP="000B31C5"/>
    <w:sectPr w:rsidSect="000B3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C5" w:rsidRPr="00383D2A" w:rsidP="00383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2A" w:rsidP="000B3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D2A" w:rsidP="000B3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3D2A" w:rsidP="000B3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1C5" w:rsidRPr="00383D2A" w:rsidP="00383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2A" w:rsidRPr="002D2AF8" w:rsidP="000B3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CPCCON3047 Cut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3D2A" w:rsidP="000B3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1C5"/>
  </w:style>
  <w:style w:type="character" w:customStyle="1" w:styleId="Heading1Char">
    <w:name w:val="Heading 1 Char"/>
    <w:basedOn w:val="DefaultParagraphFont"/>
    <w:link w:val="Heading1"/>
    <w:rsid w:val="000B3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1C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B31C5"/>
    <w:rPr>
      <w:i/>
    </w:rPr>
  </w:style>
  <w:style w:type="paragraph" w:customStyle="1" w:styleId="SuperHeading">
    <w:name w:val="SuperHeading"/>
    <w:basedOn w:val="Normal"/>
    <w:rsid w:val="000B3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1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1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1C5"/>
    <w:rPr>
      <w:b/>
      <w:spacing w:val="0"/>
    </w:rPr>
  </w:style>
  <w:style w:type="paragraph" w:customStyle="1" w:styleId="SuperTitle">
    <w:name w:val="SuperTitle"/>
    <w:basedOn w:val="Title"/>
    <w:rsid w:val="000B3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1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1C5"/>
  </w:style>
  <w:style w:type="paragraph" w:styleId="TableofFigures">
    <w:name w:val="table of figures"/>
    <w:basedOn w:val="Normal"/>
    <w:next w:val="Normal"/>
    <w:semiHidden/>
    <w:rsid w:val="000B3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1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1C5"/>
    <w:rPr>
      <w:rFonts w:ascii="Wingdings" w:hAnsi="Wingdings"/>
    </w:rPr>
  </w:style>
  <w:style w:type="paragraph" w:customStyle="1" w:styleId="TableHeading">
    <w:name w:val="Table Heading"/>
    <w:basedOn w:val="HeadingBase"/>
    <w:rsid w:val="000B3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1C5"/>
    <w:rPr>
      <w:color w:val="0033CC"/>
      <w:u w:val="none"/>
    </w:rPr>
  </w:style>
  <w:style w:type="paragraph" w:customStyle="1" w:styleId="BodyTextRight">
    <w:name w:val="Body Text Right"/>
    <w:basedOn w:val="BodyText"/>
    <w:rsid w:val="000B3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1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1C5"/>
    <w:rPr>
      <w:sz w:val="32"/>
    </w:rPr>
  </w:style>
  <w:style w:type="paragraph" w:customStyle="1" w:styleId="HeadingProcedure">
    <w:name w:val="Heading Procedure"/>
    <w:basedOn w:val="HeadingBase"/>
    <w:next w:val="Normal"/>
    <w:rsid w:val="000B3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1C5"/>
    <w:pPr>
      <w:spacing w:before="60" w:after="60"/>
    </w:pPr>
  </w:style>
  <w:style w:type="paragraph" w:styleId="ListContinue">
    <w:name w:val="List Continue"/>
    <w:basedOn w:val="List"/>
    <w:rsid w:val="000B31C5"/>
    <w:pPr>
      <w:ind w:firstLine="0"/>
    </w:pPr>
  </w:style>
  <w:style w:type="paragraph" w:customStyle="1" w:styleId="ListNote">
    <w:name w:val="List Note"/>
    <w:basedOn w:val="List"/>
    <w:rsid w:val="000B3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1C5"/>
    <w:rPr>
      <w:rFonts w:ascii="Courier New" w:hAnsi="Courier New"/>
    </w:rPr>
  </w:style>
  <w:style w:type="paragraph" w:customStyle="1" w:styleId="NoteBullet">
    <w:name w:val="Note Bullet"/>
    <w:basedOn w:val="Note"/>
    <w:rsid w:val="000B3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1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1C5"/>
    <w:rPr>
      <w:b/>
      <w:smallCaps/>
    </w:rPr>
  </w:style>
  <w:style w:type="paragraph" w:customStyle="1" w:styleId="TableListNumber">
    <w:name w:val="Table List Number"/>
    <w:basedOn w:val="ListNumber"/>
    <w:rsid w:val="000B3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1C5"/>
    <w:pPr>
      <w:numPr>
        <w:numId w:val="7"/>
      </w:numPr>
    </w:pPr>
  </w:style>
  <w:style w:type="paragraph" w:customStyle="1" w:styleId="ListAlpha2">
    <w:name w:val="List Alpha 2"/>
    <w:basedOn w:val="List2"/>
    <w:rsid w:val="000B31C5"/>
    <w:pPr>
      <w:numPr>
        <w:numId w:val="6"/>
      </w:numPr>
    </w:pPr>
  </w:style>
  <w:style w:type="paragraph" w:styleId="List2">
    <w:name w:val="List 2"/>
    <w:basedOn w:val="BodyText"/>
    <w:rsid w:val="000B3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1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1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1C5"/>
    <w:pPr>
      <w:numPr>
        <w:numId w:val="2"/>
      </w:numPr>
    </w:pPr>
  </w:style>
  <w:style w:type="paragraph" w:styleId="ListContinue2">
    <w:name w:val="List Continue 2"/>
    <w:basedOn w:val="List2"/>
    <w:rsid w:val="000B31C5"/>
    <w:pPr>
      <w:ind w:firstLine="0"/>
    </w:pPr>
  </w:style>
  <w:style w:type="paragraph" w:styleId="ListContinue3">
    <w:name w:val="List Continue 3"/>
    <w:basedOn w:val="List3"/>
    <w:rsid w:val="000B31C5"/>
    <w:pPr>
      <w:ind w:left="1021" w:firstLine="0"/>
    </w:pPr>
  </w:style>
  <w:style w:type="paragraph" w:styleId="ListContinue4">
    <w:name w:val="List Continue 4"/>
    <w:basedOn w:val="List4"/>
    <w:rsid w:val="000B31C5"/>
    <w:pPr>
      <w:ind w:firstLine="0"/>
    </w:pPr>
  </w:style>
  <w:style w:type="paragraph" w:styleId="ListContinue5">
    <w:name w:val="List Continue 5"/>
    <w:basedOn w:val="List5"/>
    <w:rsid w:val="000B31C5"/>
    <w:pPr>
      <w:ind w:firstLine="0"/>
    </w:pPr>
  </w:style>
  <w:style w:type="paragraph" w:styleId="ListNumber3">
    <w:name w:val="List Number 3"/>
    <w:basedOn w:val="List3"/>
    <w:rsid w:val="000B31C5"/>
    <w:pPr>
      <w:numPr>
        <w:numId w:val="3"/>
      </w:numPr>
    </w:pPr>
  </w:style>
  <w:style w:type="paragraph" w:styleId="ListNumber4">
    <w:name w:val="List Number 4"/>
    <w:basedOn w:val="List4"/>
    <w:rsid w:val="000B31C5"/>
    <w:pPr>
      <w:numPr>
        <w:numId w:val="4"/>
      </w:numPr>
    </w:pPr>
  </w:style>
  <w:style w:type="paragraph" w:styleId="ListNumber5">
    <w:name w:val="List Number 5"/>
    <w:basedOn w:val="List5"/>
    <w:rsid w:val="000B31C5"/>
    <w:pPr>
      <w:numPr>
        <w:numId w:val="5"/>
      </w:numPr>
    </w:pPr>
  </w:style>
  <w:style w:type="paragraph" w:styleId="BlockText">
    <w:name w:val="Block Text"/>
    <w:basedOn w:val="Normal"/>
    <w:rsid w:val="000B3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1C5"/>
    <w:rPr>
      <w:sz w:val="16"/>
      <w:vertAlign w:val="superscript"/>
    </w:rPr>
  </w:style>
  <w:style w:type="character" w:customStyle="1" w:styleId="Symbols">
    <w:name w:val="Symbols"/>
    <w:basedOn w:val="DefaultParagraphFont"/>
    <w:rsid w:val="000B31C5"/>
    <w:rPr>
      <w:rFonts w:ascii="Symbol" w:hAnsi="Symbol"/>
    </w:rPr>
  </w:style>
  <w:style w:type="character" w:customStyle="1" w:styleId="MenuOptions">
    <w:name w:val="Menu Options"/>
    <w:basedOn w:val="DefaultParagraphFont"/>
    <w:rsid w:val="000B3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1C5"/>
    <w:rPr>
      <w:b/>
    </w:rPr>
  </w:style>
  <w:style w:type="character" w:customStyle="1" w:styleId="Underlined">
    <w:name w:val="Underlined"/>
    <w:basedOn w:val="DefaultParagraphFont"/>
    <w:rsid w:val="000B31C5"/>
    <w:rPr>
      <w:u w:val="single"/>
    </w:rPr>
  </w:style>
  <w:style w:type="paragraph" w:customStyle="1" w:styleId="TableBodyTextRight">
    <w:name w:val="Table Body Text Right"/>
    <w:basedOn w:val="TableBodyText"/>
    <w:rsid w:val="000B3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1C5"/>
    <w:rPr>
      <w:sz w:val="18"/>
    </w:rPr>
  </w:style>
  <w:style w:type="paragraph" w:customStyle="1" w:styleId="BodySmallRight">
    <w:name w:val="Body Small Right"/>
    <w:basedOn w:val="BodyTextRight"/>
    <w:rsid w:val="000B31C5"/>
    <w:rPr>
      <w:sz w:val="18"/>
      <w:szCs w:val="18"/>
    </w:rPr>
  </w:style>
  <w:style w:type="paragraph" w:customStyle="1" w:styleId="MarginEdition">
    <w:name w:val="Margin Edition"/>
    <w:basedOn w:val="MarginNote"/>
    <w:rsid w:val="000B3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1C5"/>
    <w:rPr>
      <w:sz w:val="2"/>
      <w:szCs w:val="2"/>
    </w:rPr>
  </w:style>
  <w:style w:type="character" w:customStyle="1" w:styleId="Small">
    <w:name w:val="Small"/>
    <w:basedOn w:val="DefaultParagraphFont"/>
    <w:rsid w:val="000B31C5"/>
    <w:rPr>
      <w:sz w:val="16"/>
    </w:rPr>
  </w:style>
  <w:style w:type="paragraph" w:customStyle="1" w:styleId="WideTable">
    <w:name w:val="Wide Table"/>
    <w:basedOn w:val="Normal"/>
    <w:rsid w:val="000B3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1C5"/>
  </w:style>
  <w:style w:type="paragraph" w:styleId="Quote">
    <w:name w:val="Quote"/>
    <w:basedOn w:val="Heading1"/>
    <w:link w:val="QuoteChar"/>
    <w:qFormat/>
    <w:rsid w:val="000B3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1C5"/>
    <w:pPr>
      <w:pageBreakBefore/>
    </w:pPr>
  </w:style>
  <w:style w:type="paragraph" w:customStyle="1" w:styleId="Border">
    <w:name w:val="Border"/>
    <w:basedOn w:val="Normal"/>
    <w:qFormat/>
    <w:rsid w:val="000B3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1C5"/>
    <w:rPr>
      <w:u w:val="single"/>
    </w:rPr>
  </w:style>
  <w:style w:type="character" w:customStyle="1" w:styleId="BoldandItalics">
    <w:name w:val="Bold and Italics"/>
    <w:qFormat/>
    <w:rsid w:val="000B31C5"/>
    <w:rPr>
      <w:b/>
      <w:i/>
      <w:u w:val="none"/>
    </w:rPr>
  </w:style>
  <w:style w:type="paragraph" w:styleId="BalloonText">
    <w:name w:val="Balloon Text"/>
    <w:basedOn w:val="Normal"/>
    <w:link w:val="BalloonTextChar"/>
    <w:rsid w:val="000B3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1C5"/>
    <w:pPr>
      <w:spacing w:before="0" w:after="0"/>
    </w:pPr>
  </w:style>
  <w:style w:type="paragraph" w:customStyle="1" w:styleId="BodyTextBold">
    <w:name w:val="Body Text Bold"/>
    <w:basedOn w:val="BodyText"/>
    <w:qFormat/>
    <w:rsid w:val="000B31C5"/>
    <w:rPr>
      <w:b/>
    </w:rPr>
  </w:style>
  <w:style w:type="character" w:styleId="Hyperlink">
    <w:name w:val="Hyperlink"/>
    <w:basedOn w:val="DefaultParagraphFont"/>
    <w:uiPriority w:val="99"/>
    <w:unhideWhenUsed/>
    <w:rsid w:val="00383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3086</Characters>
  <Application>Microsoft Office Word</Application>
  <DocSecurity>0</DocSecurity>
  <Lines>134</Lines>
  <Paragraphs>71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CPCCON3047 Cut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