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45A" w:rsidP="00D024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CPCCON3047 Cut concrete</w:t>
      </w:r>
      <w:r>
        <w:fldChar w:fldCharType="end"/>
      </w:r>
    </w:p>
    <w:p w:rsidR="00D0245A" w:rsidP="00D0245A">
      <w:pPr>
        <w:pStyle w:val="Version"/>
        <w:sectPr w:rsidSect="00F843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8439D" w:rsidP="00F8439D">
      <w:pPr>
        <w:pStyle w:val="SuperHeading"/>
      </w:pPr>
      <w:r w:rsidRPr="00F8439D">
        <w:t>CPCCON3047 Cut concrete</w:t>
      </w:r>
    </w:p>
    <w:p w:rsidR="00000000" w:rsidRPr="00F8439D" w:rsidP="00F8439D">
      <w:pPr>
        <w:pStyle w:val="Heading1"/>
      </w:pPr>
      <w:bookmarkStart w:id="1" w:name="O_1293472"/>
      <w:bookmarkEnd w:id="1"/>
      <w:r w:rsidRPr="00F843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Updated reference to general construction induction training program.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39D" w:rsidP="00F8439D">
            <w:pPr>
              <w:pStyle w:val="BodyText"/>
            </w:pPr>
            <w:r w:rsidRPr="00F8439D">
              <w:t>This version first released with CPC Construction, Plumbing and Services Training Package Release 5.0.</w:t>
            </w:r>
          </w:p>
          <w:p w:rsidR="00000000" w:rsidRPr="00F8439D" w:rsidP="00F8439D">
            <w:pPr>
              <w:pStyle w:val="BodyText"/>
            </w:pPr>
            <w:r w:rsidRPr="00F8439D">
              <w:t>Supersedes and is not equivalent to CPCCC</w:t>
            </w:r>
            <w:r w:rsidRPr="00F8439D">
              <w:t>O3047 Cut and core concrete.</w:t>
            </w:r>
          </w:p>
        </w:tc>
      </w:tr>
    </w:tbl>
    <w:p w:rsidR="00000000" w:rsidRPr="00F8439D" w:rsidP="00F8439D">
      <w:pPr>
        <w:pStyle w:val="BodyText"/>
      </w:pPr>
    </w:p>
    <w:p w:rsidR="00000000" w:rsidRPr="00F8439D" w:rsidP="00F8439D">
      <w:pPr>
        <w:pStyle w:val="AllowPageBreak"/>
      </w:pPr>
    </w:p>
    <w:p w:rsidR="00000000" w:rsidRPr="00F8439D" w:rsidP="00F8439D">
      <w:pPr>
        <w:pStyle w:val="Heading1"/>
      </w:pPr>
      <w:bookmarkStart w:id="2" w:name="O_1293471"/>
      <w:bookmarkEnd w:id="2"/>
      <w:r w:rsidRPr="00F8439D">
        <w:t>Application</w:t>
      </w:r>
    </w:p>
    <w:p w:rsidR="00000000" w:rsidRPr="00F8439D" w:rsidP="00D0245A">
      <w:pPr>
        <w:pStyle w:val="BodyText"/>
      </w:pPr>
      <w:r w:rsidRPr="00F8439D">
        <w:t>This unit of competency specifies the skills and knowledge required to safely cut concrete.  It requires using concrete and masonry saws to cut concrete to specification.</w:t>
      </w:r>
    </w:p>
    <w:p w:rsidR="00000000" w:rsidRPr="00F8439D" w:rsidP="00D0245A">
      <w:pPr>
        <w:pStyle w:val="BodyText"/>
      </w:pPr>
      <w:r w:rsidRPr="00F8439D">
        <w:t>A person who has achiev</w:t>
      </w:r>
      <w:r w:rsidRPr="00F8439D">
        <w:t>ed this unit of competency would be expected to take responsibility for organising and completing these tasks with a high degree of self-direction.</w:t>
      </w:r>
    </w:p>
    <w:p w:rsidR="00000000" w:rsidRPr="00F8439D" w:rsidP="00D0245A">
      <w:pPr>
        <w:pStyle w:val="BodyText"/>
      </w:pPr>
      <w:r w:rsidRPr="00F8439D">
        <w:t>Licensing, legislative, regulatory or certification requirements apply to this unit of competency in some st</w:t>
      </w:r>
      <w:r w:rsidRPr="00F8439D">
        <w:t>ates and territories. For further information, check with the relevant regulatory authority.</w:t>
      </w:r>
    </w:p>
    <w:p w:rsidR="00000000" w:rsidRPr="00F8439D" w:rsidP="00D0245A">
      <w:pPr>
        <w:pStyle w:val="BodyText"/>
      </w:pPr>
      <w:r w:rsidRPr="00F8439D">
        <w:t>Completion of the general construction induction training program, specified in the Safe Work Australia model </w:t>
      </w:r>
      <w:r w:rsidRPr="00F8439D">
        <w:rPr>
          <w:rStyle w:val="Emphasis"/>
        </w:rPr>
        <w:t>Code of Practice: Construction Work</w:t>
      </w:r>
      <w:r w:rsidRPr="00F8439D">
        <w:t>, is required by a</w:t>
      </w:r>
      <w:r w:rsidRPr="00F8439D">
        <w:t xml:space="preserve">nyone carrying out construction work. Achievement of </w:t>
      </w:r>
      <w:r w:rsidRPr="00F8439D">
        <w:rPr>
          <w:rStyle w:val="Emphasis"/>
        </w:rPr>
        <w:t>CPCWHS1001</w:t>
      </w:r>
      <w:r w:rsidRPr="00F8439D">
        <w:t> </w:t>
      </w:r>
      <w:r w:rsidRPr="00F8439D">
        <w:rPr>
          <w:rStyle w:val="Emphasis"/>
        </w:rPr>
        <w:t>Prepare to work safely in the construction industry</w:t>
      </w:r>
      <w:r w:rsidRPr="00F8439D">
        <w:t> meets this requirement.</w:t>
      </w:r>
    </w:p>
    <w:p w:rsidR="00000000" w:rsidRPr="00F8439D" w:rsidP="00F8439D">
      <w:pPr>
        <w:pStyle w:val="Heading1"/>
      </w:pPr>
      <w:bookmarkStart w:id="3" w:name="O_1293470"/>
      <w:bookmarkEnd w:id="3"/>
      <w:r w:rsidRPr="00F8439D">
        <w:t>Pre-requisite Unit</w:t>
      </w:r>
    </w:p>
    <w:p w:rsidR="00000000" w:rsidRPr="00F8439D" w:rsidP="00D0245A">
      <w:pPr>
        <w:pStyle w:val="BodyText"/>
      </w:pPr>
      <w:r w:rsidRPr="00F8439D">
        <w:t>CPCCWHS2001 Apply WHS requirements, policies and procedures in the construction industry</w:t>
      </w:r>
    </w:p>
    <w:p w:rsidR="00000000" w:rsidRPr="00F8439D" w:rsidP="00F8439D">
      <w:pPr>
        <w:pStyle w:val="Heading1"/>
      </w:pPr>
      <w:bookmarkStart w:id="4" w:name="O_1293469"/>
      <w:bookmarkEnd w:id="4"/>
      <w:r w:rsidRPr="00F8439D">
        <w:t>Unit Sector</w:t>
      </w:r>
    </w:p>
    <w:p w:rsidR="00000000" w:rsidRPr="00F8439D" w:rsidP="00D0245A">
      <w:pPr>
        <w:pStyle w:val="BodyText"/>
      </w:pPr>
      <w:r w:rsidRPr="00F8439D">
        <w:t>Concreting</w:t>
      </w:r>
    </w:p>
    <w:p w:rsidR="00000000" w:rsidRPr="00F8439D" w:rsidP="00F8439D">
      <w:pPr>
        <w:pStyle w:val="Heading1"/>
      </w:pPr>
      <w:bookmarkStart w:id="5" w:name="O_1293468"/>
      <w:bookmarkEnd w:id="5"/>
      <w:r w:rsidRPr="00F8439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Performance criteria describe</w:t>
            </w:r>
            <w:r w:rsidRPr="00F8439D">
              <w:t xml:space="preserve"> what needs to be done to demonstrate achievement of the element.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Plan and prepare to cut concrete.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Interpret specifications for concrete cutting and clarify requirements with relevant persons.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Assess work site to determine concrete type, thickness, reinforcement and base type impacting cutting requirements.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Plan work tasks to comply with relevant legislation, regulations, standards and codes, and manufacturer, work health and safety (WHS)</w:t>
            </w:r>
            <w:r w:rsidRPr="00F8439D">
              <w:t>, environmental and workplace requirements.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Select and fit required personal protective equipment (PPE).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Inspect work site, assess hazards and apply risk controls, including required signage and barricades.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Select tools and equipment, check for serviceability and rectify or report any faults.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Carry out concrete cutting activities.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Inspect concrete to assess its readiness for cutting and to prevent raveling, cracking and saw damage.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Conduct required measurements and calculations and mark cutting positions according to specifications.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Use tools and equipment safely to perform trial cuts according to manufacturer and workplace requirements.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Cut concrete according to specifications and quality requirements.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Control dust from concrete cutting activities according to workplace requirements.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Clear work area and dispose of, reuse or recycle materials according to regulatory and workplace requirements.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39D" w:rsidP="00F8439D">
            <w:pPr>
              <w:pStyle w:val="BodyText"/>
            </w:pPr>
            <w:r w:rsidRPr="00F8439D">
              <w:t>Clean, check, maintain and store tools and equipment according to manufacturer and workplace requirements.</w:t>
            </w:r>
          </w:p>
        </w:tc>
      </w:tr>
    </w:tbl>
    <w:p w:rsidR="00D0245A" w:rsidP="00F8439D">
      <w:pPr>
        <w:pStyle w:val="BodyText"/>
      </w:pPr>
    </w:p>
    <w:p w:rsidR="00D0245A" w:rsidP="00F8439D">
      <w:pPr>
        <w:pStyle w:val="BodyText"/>
      </w:pPr>
    </w:p>
    <w:p w:rsidR="00000000" w:rsidRPr="00F8439D" w:rsidP="00F8439D">
      <w:pPr>
        <w:pStyle w:val="Heading1"/>
      </w:pPr>
      <w:bookmarkStart w:id="6" w:name="O_1293467"/>
      <w:bookmarkEnd w:id="6"/>
      <w:r w:rsidRPr="00F8439D">
        <w:t>Foundation Skills</w:t>
      </w:r>
    </w:p>
    <w:p w:rsidR="00000000" w:rsidRPr="00F8439D" w:rsidP="00D0245A">
      <w:pPr>
        <w:pStyle w:val="BodyText"/>
      </w:pPr>
      <w:r w:rsidRPr="00F8439D">
        <w:t xml:space="preserve">Foundation skills essential to performance are explicit in the performance criteria of this unit of competency. </w:t>
      </w:r>
    </w:p>
    <w:p w:rsidR="00000000" w:rsidRPr="00F8439D" w:rsidP="00F8439D">
      <w:pPr>
        <w:pStyle w:val="Heading1"/>
      </w:pPr>
      <w:bookmarkStart w:id="7" w:name="O_1293466"/>
      <w:bookmarkEnd w:id="7"/>
      <w:r w:rsidRPr="00F8439D">
        <w:t>Unit Mapping Information</w:t>
      </w:r>
    </w:p>
    <w:p w:rsidR="00000000" w:rsidRPr="00F8439D" w:rsidP="00D0245A">
      <w:pPr>
        <w:pStyle w:val="BodyText"/>
      </w:pPr>
      <w:r w:rsidRPr="00F8439D">
        <w:t>Supersedes and is not equivalent to CPCCCO3047 Cut and core concrete.</w:t>
      </w:r>
    </w:p>
    <w:p w:rsidR="00000000" w:rsidRPr="00F8439D" w:rsidP="00F8439D">
      <w:pPr>
        <w:pStyle w:val="Heading1"/>
      </w:pPr>
      <w:bookmarkStart w:id="8" w:name="O_1293473"/>
      <w:bookmarkEnd w:id="8"/>
      <w:r w:rsidRPr="00F8439D">
        <w:t>Links</w:t>
      </w:r>
    </w:p>
    <w:p w:rsidR="00000000" w:rsidRPr="00F8439D" w:rsidP="00D0245A">
      <w:pPr>
        <w:pStyle w:val="BodyText"/>
      </w:pPr>
      <w:r w:rsidRPr="00F8439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5645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8439D" w:rsidP="00D0245A">
      <w:pPr>
        <w:pStyle w:val="BodyText"/>
        <w:sectPr w:rsidSect="00F8439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439D" w:rsidP="00F8439D">
      <w:pPr>
        <w:pStyle w:val="SuperHeading"/>
      </w:pPr>
      <w:r w:rsidRPr="00F8439D">
        <w:t>Assessment Requirements for C</w:t>
      </w:r>
      <w:r w:rsidRPr="00F8439D">
        <w:t>PCCON3047 Cut concrete</w:t>
      </w:r>
    </w:p>
    <w:p w:rsidR="00000000" w:rsidRPr="00F8439D" w:rsidP="00F8439D">
      <w:pPr>
        <w:pStyle w:val="Heading1"/>
      </w:pPr>
      <w:bookmarkStart w:id="9" w:name="O_1293464"/>
      <w:bookmarkEnd w:id="9"/>
      <w:r w:rsidRPr="00F8439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5"/>
        <w:gridCol w:w="6663"/>
      </w:tblGrid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Release 2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Updated reference to general construction induction training program.</w:t>
            </w:r>
          </w:p>
        </w:tc>
      </w:tr>
      <w:tr w:rsidTr="00F8439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39D">
            <w:pPr>
              <w:pStyle w:val="BodyText"/>
              <w:rPr>
                <w:lang w:val="en-NZ"/>
              </w:rPr>
            </w:pPr>
            <w:r w:rsidRPr="00F8439D">
              <w:t>Release 1</w:t>
            </w:r>
          </w:p>
        </w:tc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39D" w:rsidP="00F8439D">
            <w:pPr>
              <w:pStyle w:val="BodyText"/>
            </w:pPr>
            <w:r w:rsidRPr="00F8439D">
              <w:t>This version first released with CPC Construction, Plumbing and Services Training Package Release 5.0.</w:t>
            </w:r>
          </w:p>
          <w:p w:rsidR="00000000" w:rsidRPr="00F8439D" w:rsidP="00F8439D">
            <w:pPr>
              <w:pStyle w:val="BodyText"/>
            </w:pPr>
            <w:r w:rsidRPr="00F8439D">
              <w:t>Supersedes and is not equivalent to CPCCCO3047 Cut and core concrete.</w:t>
            </w:r>
          </w:p>
        </w:tc>
      </w:tr>
    </w:tbl>
    <w:p w:rsidR="00000000" w:rsidRPr="00F8439D" w:rsidP="00F8439D">
      <w:pPr>
        <w:pStyle w:val="BodyText"/>
      </w:pPr>
    </w:p>
    <w:p w:rsidR="00000000" w:rsidRPr="00F8439D" w:rsidP="00F8439D">
      <w:pPr>
        <w:pStyle w:val="AllowPageBreak"/>
      </w:pPr>
    </w:p>
    <w:p w:rsidR="00000000" w:rsidRPr="00F8439D" w:rsidP="00F8439D">
      <w:pPr>
        <w:pStyle w:val="Heading1"/>
      </w:pPr>
      <w:bookmarkStart w:id="10" w:name="O_1293463"/>
      <w:bookmarkEnd w:id="10"/>
      <w:r w:rsidRPr="00F8439D">
        <w:t>Performance Evidence</w:t>
      </w:r>
    </w:p>
    <w:p w:rsidR="00000000" w:rsidRPr="00F8439D" w:rsidP="00D0245A">
      <w:pPr>
        <w:pStyle w:val="BodyText"/>
      </w:pPr>
      <w:r w:rsidRPr="00F8439D">
        <w:t>To demonstrate competency, a candidate must meet the elements and performance criteria of this unit by cutting concrete on two different occasio</w:t>
      </w:r>
      <w:r w:rsidRPr="00F8439D">
        <w:t>ns involving, on each occasion:</w:t>
      </w:r>
    </w:p>
    <w:p w:rsidR="00000000" w:rsidRPr="00F8439D" w:rsidP="00F8439D">
      <w:pPr>
        <w:pStyle w:val="ListBullet"/>
      </w:pPr>
      <w:r w:rsidRPr="00F8439D">
        <w:t>saw-cutting one joint to a horizontal concrete surface to a minimum of five metres straight or to the set line.</w:t>
      </w:r>
    </w:p>
    <w:p w:rsidR="00000000" w:rsidRPr="00F8439D" w:rsidP="00F8439D">
      <w:pPr>
        <w:pStyle w:val="AllowPageBreak"/>
      </w:pPr>
    </w:p>
    <w:p w:rsidR="00000000" w:rsidRPr="00F8439D" w:rsidP="00F8439D">
      <w:pPr>
        <w:pStyle w:val="Heading1"/>
      </w:pPr>
      <w:bookmarkStart w:id="11" w:name="O_1293462"/>
      <w:bookmarkEnd w:id="11"/>
      <w:r w:rsidRPr="00F8439D">
        <w:t>Knowledge Evidence</w:t>
      </w:r>
    </w:p>
    <w:p w:rsidR="00000000" w:rsidRPr="00F8439D" w:rsidP="00D0245A">
      <w:pPr>
        <w:pStyle w:val="BodyText"/>
      </w:pPr>
      <w:r w:rsidRPr="00F8439D">
        <w:t>To be competent in this unit, a candidate must demonstrate knowledge of:</w:t>
      </w:r>
    </w:p>
    <w:p w:rsidR="00000000" w:rsidRPr="00F8439D" w:rsidP="00F8439D">
      <w:pPr>
        <w:pStyle w:val="ListBullet"/>
      </w:pPr>
      <w:r w:rsidRPr="00F8439D">
        <w:t>compliance requirements of legislation, regulations and Australian Standards relevant to concrete cutting tasks:</w:t>
      </w:r>
    </w:p>
    <w:p w:rsidR="00000000" w:rsidRPr="00F8439D" w:rsidP="00F8439D">
      <w:pPr>
        <w:pStyle w:val="ListBullet2"/>
      </w:pPr>
      <w:r w:rsidRPr="00F8439D">
        <w:t>environmental protection and waste disposal</w:t>
      </w:r>
    </w:p>
    <w:p w:rsidR="00000000" w:rsidRPr="00F8439D" w:rsidP="00F8439D">
      <w:pPr>
        <w:pStyle w:val="ListBullet2"/>
      </w:pPr>
      <w:r w:rsidRPr="00F8439D">
        <w:t>specified tolerances</w:t>
      </w:r>
    </w:p>
    <w:p w:rsidR="00000000" w:rsidRPr="00F8439D" w:rsidP="00F8439D">
      <w:pPr>
        <w:pStyle w:val="ListBullet2"/>
      </w:pPr>
      <w:r w:rsidRPr="00F8439D">
        <w:t>work health and safety (WHS)</w:t>
      </w:r>
    </w:p>
    <w:p w:rsidR="00000000" w:rsidRPr="00F8439D" w:rsidP="00F8439D">
      <w:pPr>
        <w:pStyle w:val="ListBullet"/>
      </w:pPr>
      <w:r w:rsidRPr="00F8439D">
        <w:t>concrete cutting processes and techniques:</w:t>
      </w:r>
    </w:p>
    <w:p w:rsidR="00000000" w:rsidRPr="00F8439D" w:rsidP="00F8439D">
      <w:pPr>
        <w:pStyle w:val="ListBullet2"/>
      </w:pPr>
      <w:r w:rsidRPr="00F8439D">
        <w:t>so</w:t>
      </w:r>
      <w:r w:rsidRPr="00F8439D">
        <w:t>ft cutting</w:t>
      </w:r>
    </w:p>
    <w:p w:rsidR="00000000" w:rsidRPr="00F8439D" w:rsidP="00F8439D">
      <w:pPr>
        <w:pStyle w:val="ListBullet2"/>
      </w:pPr>
      <w:r w:rsidRPr="00F8439D">
        <w:t>expansion cutting</w:t>
      </w:r>
    </w:p>
    <w:p w:rsidR="00000000" w:rsidRPr="00F8439D" w:rsidP="00F8439D">
      <w:pPr>
        <w:pStyle w:val="ListBullet"/>
      </w:pPr>
      <w:r w:rsidRPr="00F8439D">
        <w:t>cutting methods that can cause excessive blade wear, raveling and cracking</w:t>
      </w:r>
    </w:p>
    <w:p w:rsidR="00000000" w:rsidRPr="00F8439D" w:rsidP="00F8439D">
      <w:pPr>
        <w:pStyle w:val="ListBullet"/>
      </w:pPr>
      <w:r w:rsidRPr="00F8439D">
        <w:t xml:space="preserve">factors to consider when assessing the readiness of concrete for cutting to avoid raveling, cracks and saw damage including the effects of weather and </w:t>
      </w:r>
      <w:r w:rsidRPr="00F8439D">
        <w:t>climate</w:t>
      </w:r>
    </w:p>
    <w:p w:rsidR="00000000" w:rsidRPr="00F8439D" w:rsidP="00F8439D">
      <w:pPr>
        <w:pStyle w:val="ListBullet"/>
      </w:pPr>
      <w:r w:rsidRPr="00F8439D">
        <w:t>health risks associated with silica dust exposure</w:t>
      </w:r>
    </w:p>
    <w:p w:rsidR="00000000" w:rsidRPr="00F8439D" w:rsidP="00F8439D">
      <w:pPr>
        <w:pStyle w:val="ListBullet"/>
      </w:pPr>
      <w:r w:rsidRPr="00F8439D">
        <w:t>purpose and importance of construction, contraction, control and expansion joints:</w:t>
      </w:r>
    </w:p>
    <w:p w:rsidR="00000000" w:rsidRPr="00F8439D" w:rsidP="00F8439D">
      <w:pPr>
        <w:pStyle w:val="ListBullet2"/>
      </w:pPr>
      <w:r w:rsidRPr="00F8439D">
        <w:t>doweling systems</w:t>
      </w:r>
    </w:p>
    <w:p w:rsidR="00000000" w:rsidRPr="00F8439D" w:rsidP="00F8439D">
      <w:pPr>
        <w:pStyle w:val="ListBullet2"/>
      </w:pPr>
      <w:r w:rsidRPr="00F8439D">
        <w:t>installation methods</w:t>
      </w:r>
    </w:p>
    <w:p w:rsidR="00000000" w:rsidRPr="00F8439D" w:rsidP="00F8439D">
      <w:pPr>
        <w:pStyle w:val="ListBullet2"/>
      </w:pPr>
      <w:r w:rsidRPr="00F8439D">
        <w:t>role in the long-term serviceability of concrete pavements</w:t>
      </w:r>
    </w:p>
    <w:p w:rsidR="00000000" w:rsidRPr="00F8439D" w:rsidP="00F8439D">
      <w:pPr>
        <w:pStyle w:val="ListBullet"/>
      </w:pPr>
      <w:r w:rsidRPr="00F8439D">
        <w:t>typical hazards associated with concrete cutting using concrete and masonry saws, and risk control methods for each:</w:t>
      </w:r>
    </w:p>
    <w:p w:rsidR="00000000" w:rsidRPr="00F8439D" w:rsidP="00F8439D">
      <w:pPr>
        <w:pStyle w:val="ListBullet2"/>
      </w:pPr>
      <w:r w:rsidRPr="00F8439D">
        <w:t>blade fracture</w:t>
      </w:r>
    </w:p>
    <w:p w:rsidR="00000000" w:rsidRPr="00F8439D" w:rsidP="00F8439D">
      <w:pPr>
        <w:pStyle w:val="ListBullet2"/>
      </w:pPr>
      <w:r w:rsidRPr="00F8439D">
        <w:t>electrocution</w:t>
      </w:r>
    </w:p>
    <w:p w:rsidR="00000000" w:rsidRPr="00F8439D" w:rsidP="00F8439D">
      <w:pPr>
        <w:pStyle w:val="ListBullet2"/>
      </w:pPr>
      <w:r w:rsidRPr="00F8439D">
        <w:t>saw kick-back, push-back and pull-in</w:t>
      </w:r>
    </w:p>
    <w:p w:rsidR="00000000" w:rsidRPr="00F8439D" w:rsidP="00F8439D">
      <w:pPr>
        <w:pStyle w:val="ListBullet2"/>
      </w:pPr>
      <w:r w:rsidRPr="00F8439D">
        <w:t>silica dust</w:t>
      </w:r>
    </w:p>
    <w:p w:rsidR="00000000" w:rsidRPr="00F8439D" w:rsidP="00F8439D">
      <w:pPr>
        <w:pStyle w:val="ListBullet2"/>
      </w:pPr>
      <w:r w:rsidRPr="00F8439D">
        <w:t>toxic fumes</w:t>
      </w:r>
    </w:p>
    <w:p w:rsidR="00000000" w:rsidRPr="00F8439D" w:rsidP="00F8439D">
      <w:pPr>
        <w:pStyle w:val="ListBullet"/>
      </w:pPr>
      <w:r w:rsidRPr="00F8439D">
        <w:t xml:space="preserve">uses, maintenance and limitations of tools and </w:t>
      </w:r>
      <w:r w:rsidRPr="00F8439D">
        <w:t>equipment used to cut concrete</w:t>
      </w:r>
    </w:p>
    <w:p w:rsidR="00000000" w:rsidRPr="00F8439D" w:rsidP="00F8439D">
      <w:pPr>
        <w:pStyle w:val="ListBullet"/>
      </w:pPr>
      <w:r w:rsidRPr="00F8439D">
        <w:t>workplace requirements for cutting concrete:</w:t>
      </w:r>
    </w:p>
    <w:p w:rsidR="00000000" w:rsidRPr="00F8439D" w:rsidP="00F8439D">
      <w:pPr>
        <w:pStyle w:val="ListBullet2"/>
      </w:pPr>
      <w:r w:rsidRPr="00F8439D">
        <w:t>cleaning up the work area</w:t>
      </w:r>
    </w:p>
    <w:p w:rsidR="00000000" w:rsidRPr="00F8439D" w:rsidP="00F8439D">
      <w:pPr>
        <w:pStyle w:val="ListBullet2"/>
      </w:pPr>
      <w:r w:rsidRPr="00F8439D">
        <w:t>maintaining and storing tools and equipment</w:t>
      </w:r>
    </w:p>
    <w:p w:rsidR="00000000" w:rsidRPr="00F8439D" w:rsidP="00F8439D">
      <w:pPr>
        <w:pStyle w:val="ListBullet2"/>
      </w:pPr>
      <w:r w:rsidRPr="00F8439D">
        <w:t>quality</w:t>
      </w:r>
    </w:p>
    <w:p w:rsidR="00000000" w:rsidRPr="00F8439D" w:rsidP="00F8439D">
      <w:pPr>
        <w:pStyle w:val="ListBullet2"/>
      </w:pPr>
      <w:r w:rsidRPr="00F8439D">
        <w:t>reporting problems</w:t>
      </w:r>
    </w:p>
    <w:p w:rsidR="00000000" w:rsidRPr="00F8439D" w:rsidP="00F8439D">
      <w:pPr>
        <w:pStyle w:val="ListBullet2"/>
      </w:pPr>
      <w:r w:rsidRPr="00F8439D">
        <w:t>safety requirements including dust suppression and personal protective equipment (PPE).</w:t>
      </w:r>
    </w:p>
    <w:p w:rsidR="00000000" w:rsidRPr="00F8439D" w:rsidP="00F8439D">
      <w:pPr>
        <w:pStyle w:val="AllowPageBreak"/>
      </w:pPr>
    </w:p>
    <w:p w:rsidR="00000000" w:rsidRPr="00F8439D" w:rsidP="00F8439D">
      <w:pPr>
        <w:pStyle w:val="Heading1"/>
      </w:pPr>
      <w:bookmarkStart w:id="12" w:name="O_1293461"/>
      <w:bookmarkEnd w:id="12"/>
      <w:r w:rsidRPr="00F8439D">
        <w:t>Assessment Conditions</w:t>
      </w:r>
    </w:p>
    <w:p w:rsidR="00000000" w:rsidRPr="00F8439D" w:rsidP="00D0245A">
      <w:pPr>
        <w:pStyle w:val="BodyText"/>
      </w:pPr>
      <w:r w:rsidRPr="00F8439D">
        <w:t xml:space="preserve">Assessors must meet the requirements for assessors contained in the Standards for Registered Training Organisations. </w:t>
      </w:r>
    </w:p>
    <w:p w:rsidR="00000000" w:rsidRPr="00F8439D" w:rsidP="00D0245A">
      <w:pPr>
        <w:pStyle w:val="BodyText"/>
      </w:pPr>
      <w:r w:rsidRPr="00F8439D">
        <w:t>Assessmen</w:t>
      </w:r>
      <w:r w:rsidRPr="00F8439D">
        <w:t>t must be conducted in the workplace or a simulated workplace using realistic conditions, materials, activities, responsibilities, procedures, safety requirements and environmental considerations.</w:t>
      </w:r>
    </w:p>
    <w:p w:rsidR="00000000" w:rsidRPr="00F8439D" w:rsidP="00D0245A">
      <w:pPr>
        <w:pStyle w:val="BodyText"/>
      </w:pPr>
      <w:r w:rsidRPr="00F8439D">
        <w:t>Candidates must have access to documentation, specification</w:t>
      </w:r>
      <w:r w:rsidRPr="00F8439D">
        <w:t>s, concrete, tools and equipment required to achieve the performance evidence.</w:t>
      </w:r>
    </w:p>
    <w:p w:rsidR="00000000" w:rsidRPr="00F8439D" w:rsidP="00F8439D">
      <w:pPr>
        <w:pStyle w:val="Heading1"/>
      </w:pPr>
      <w:bookmarkStart w:id="13" w:name="O_1293474"/>
      <w:bookmarkEnd w:id="13"/>
      <w:r w:rsidRPr="00F8439D">
        <w:t>Links</w:t>
      </w:r>
    </w:p>
    <w:p w:rsidR="00000000" w:rsidRPr="00F8439D" w:rsidP="00D0245A">
      <w:pPr>
        <w:pStyle w:val="BodyText"/>
      </w:pPr>
      <w:r w:rsidRPr="00F8439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5645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8439D" w:rsidP="00F8439D"/>
    <w:sectPr w:rsidSect="00F8439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9D" w:rsidRPr="00D0245A" w:rsidP="00D024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5A" w:rsidP="00F84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245A" w:rsidP="00F84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0245A" w:rsidP="00F8439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9D" w:rsidP="00F843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0245A">
      <w:t>Approved</w:t>
    </w:r>
    <w:r w:rsidR="00D0245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0245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0245A">
      <w:rPr>
        <w:noProof/>
      </w:rPr>
      <w:t>4</w:t>
    </w:r>
    <w:r>
      <w:rPr>
        <w:noProof/>
      </w:rPr>
      <w:fldChar w:fldCharType="end"/>
    </w:r>
  </w:p>
  <w:p w:rsidR="00F8439D" w:rsidP="00F843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0245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0245A">
      <w:t>BuildSkills Australia</w:t>
    </w:r>
    <w:r w:rsidR="00D0245A">
      <w:fldChar w:fldCharType="end"/>
    </w:r>
  </w:p>
  <w:p w:rsidR="00F8439D" w:rsidP="00F843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39D" w:rsidRPr="00D0245A" w:rsidP="00D024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45A" w:rsidRPr="002D2AF8" w:rsidP="00F84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CPCCON3047 Cut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0245A" w:rsidP="00F8439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39D" w:rsidRPr="002D2AF8" w:rsidP="00F843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0245A">
      <w:t>CPCCON3047 Cut concrete</w:t>
    </w:r>
    <w:r w:rsidR="00D0245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0245A">
      <w:rPr>
        <w:noProof/>
      </w:rPr>
      <w:t>2 March 2025</w:t>
    </w:r>
    <w:r>
      <w:fldChar w:fldCharType="end"/>
    </w:r>
  </w:p>
  <w:p w:rsidR="00F8439D" w:rsidP="00F843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E6CB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B6BA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AE1E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3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3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3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3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3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3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3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3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3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3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3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39D"/>
  </w:style>
  <w:style w:type="character" w:customStyle="1" w:styleId="Heading1Char">
    <w:name w:val="Heading 1 Char"/>
    <w:basedOn w:val="DefaultParagraphFont"/>
    <w:link w:val="Heading1"/>
    <w:rsid w:val="00F843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3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3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39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439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439D"/>
    <w:rPr>
      <w:i/>
    </w:rPr>
  </w:style>
  <w:style w:type="paragraph" w:customStyle="1" w:styleId="SuperHeading">
    <w:name w:val="SuperHeading"/>
    <w:basedOn w:val="Normal"/>
    <w:rsid w:val="00F843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3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3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3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3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3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3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3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3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3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3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3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3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3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3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3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3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3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3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3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439D"/>
    <w:rPr>
      <w:b/>
      <w:spacing w:val="0"/>
    </w:rPr>
  </w:style>
  <w:style w:type="paragraph" w:customStyle="1" w:styleId="SuperTitle">
    <w:name w:val="SuperTitle"/>
    <w:basedOn w:val="Title"/>
    <w:rsid w:val="00F843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3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3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3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3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3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3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3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3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3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3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39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43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3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3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39D"/>
  </w:style>
  <w:style w:type="paragraph" w:styleId="TableofFigures">
    <w:name w:val="table of figures"/>
    <w:basedOn w:val="Normal"/>
    <w:next w:val="Normal"/>
    <w:semiHidden/>
    <w:rsid w:val="00F843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39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439D"/>
    <w:rPr>
      <w:rFonts w:ascii="Wingdings" w:hAnsi="Wingdings"/>
    </w:rPr>
  </w:style>
  <w:style w:type="paragraph" w:customStyle="1" w:styleId="TableHeading">
    <w:name w:val="Table Heading"/>
    <w:basedOn w:val="HeadingBase"/>
    <w:rsid w:val="00F843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39D"/>
    <w:rPr>
      <w:color w:val="0033CC"/>
      <w:u w:val="none"/>
    </w:rPr>
  </w:style>
  <w:style w:type="paragraph" w:customStyle="1" w:styleId="BodyTextRight">
    <w:name w:val="Body Text Right"/>
    <w:basedOn w:val="BodyText"/>
    <w:rsid w:val="00F843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3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39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3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3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3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39D"/>
    <w:rPr>
      <w:sz w:val="32"/>
    </w:rPr>
  </w:style>
  <w:style w:type="paragraph" w:customStyle="1" w:styleId="HeadingProcedure">
    <w:name w:val="Heading Procedure"/>
    <w:basedOn w:val="HeadingBase"/>
    <w:next w:val="Normal"/>
    <w:rsid w:val="00F843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39D"/>
    <w:pPr>
      <w:spacing w:before="60" w:after="60"/>
    </w:pPr>
  </w:style>
  <w:style w:type="paragraph" w:styleId="ListContinue">
    <w:name w:val="List Continue"/>
    <w:basedOn w:val="List"/>
    <w:rsid w:val="00F8439D"/>
    <w:pPr>
      <w:ind w:firstLine="0"/>
    </w:pPr>
  </w:style>
  <w:style w:type="paragraph" w:customStyle="1" w:styleId="ListNote">
    <w:name w:val="List Note"/>
    <w:basedOn w:val="List"/>
    <w:rsid w:val="00F843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3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3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39D"/>
    <w:rPr>
      <w:rFonts w:ascii="Courier New" w:hAnsi="Courier New"/>
    </w:rPr>
  </w:style>
  <w:style w:type="paragraph" w:customStyle="1" w:styleId="NoteBullet">
    <w:name w:val="Note Bullet"/>
    <w:basedOn w:val="Note"/>
    <w:rsid w:val="00F843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3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3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3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39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3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3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39D"/>
    <w:rPr>
      <w:b/>
      <w:smallCaps/>
    </w:rPr>
  </w:style>
  <w:style w:type="paragraph" w:customStyle="1" w:styleId="TableListNumber">
    <w:name w:val="Table List Number"/>
    <w:basedOn w:val="ListNumber"/>
    <w:rsid w:val="00F843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3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39D"/>
    <w:pPr>
      <w:numPr>
        <w:numId w:val="9"/>
      </w:numPr>
    </w:pPr>
  </w:style>
  <w:style w:type="paragraph" w:customStyle="1" w:styleId="ListAlpha2">
    <w:name w:val="List Alpha 2"/>
    <w:basedOn w:val="List2"/>
    <w:rsid w:val="00F8439D"/>
    <w:pPr>
      <w:numPr>
        <w:numId w:val="8"/>
      </w:numPr>
    </w:pPr>
  </w:style>
  <w:style w:type="paragraph" w:styleId="List2">
    <w:name w:val="List 2"/>
    <w:basedOn w:val="BodyText"/>
    <w:rsid w:val="00F843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3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3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39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39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39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39D"/>
    <w:pPr>
      <w:numPr>
        <w:numId w:val="4"/>
      </w:numPr>
    </w:pPr>
  </w:style>
  <w:style w:type="paragraph" w:styleId="ListContinue2">
    <w:name w:val="List Continue 2"/>
    <w:basedOn w:val="List2"/>
    <w:rsid w:val="00F8439D"/>
    <w:pPr>
      <w:ind w:firstLine="0"/>
    </w:pPr>
  </w:style>
  <w:style w:type="paragraph" w:styleId="ListContinue3">
    <w:name w:val="List Continue 3"/>
    <w:basedOn w:val="List3"/>
    <w:rsid w:val="00F8439D"/>
    <w:pPr>
      <w:ind w:left="1021" w:firstLine="0"/>
    </w:pPr>
  </w:style>
  <w:style w:type="paragraph" w:styleId="ListContinue4">
    <w:name w:val="List Continue 4"/>
    <w:basedOn w:val="List4"/>
    <w:rsid w:val="00F8439D"/>
    <w:pPr>
      <w:ind w:firstLine="0"/>
    </w:pPr>
  </w:style>
  <w:style w:type="paragraph" w:styleId="ListContinue5">
    <w:name w:val="List Continue 5"/>
    <w:basedOn w:val="List5"/>
    <w:rsid w:val="00F8439D"/>
    <w:pPr>
      <w:ind w:firstLine="0"/>
    </w:pPr>
  </w:style>
  <w:style w:type="paragraph" w:styleId="ListNumber3">
    <w:name w:val="List Number 3"/>
    <w:basedOn w:val="List3"/>
    <w:rsid w:val="00F8439D"/>
    <w:pPr>
      <w:numPr>
        <w:numId w:val="5"/>
      </w:numPr>
    </w:pPr>
  </w:style>
  <w:style w:type="paragraph" w:styleId="ListNumber4">
    <w:name w:val="List Number 4"/>
    <w:basedOn w:val="List4"/>
    <w:rsid w:val="00F8439D"/>
    <w:pPr>
      <w:numPr>
        <w:numId w:val="6"/>
      </w:numPr>
    </w:pPr>
  </w:style>
  <w:style w:type="paragraph" w:styleId="ListNumber5">
    <w:name w:val="List Number 5"/>
    <w:basedOn w:val="List5"/>
    <w:rsid w:val="00F8439D"/>
    <w:pPr>
      <w:numPr>
        <w:numId w:val="7"/>
      </w:numPr>
    </w:pPr>
  </w:style>
  <w:style w:type="paragraph" w:styleId="BlockText">
    <w:name w:val="Block Text"/>
    <w:basedOn w:val="Normal"/>
    <w:rsid w:val="00F843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3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39D"/>
    <w:rPr>
      <w:sz w:val="16"/>
      <w:vertAlign w:val="superscript"/>
    </w:rPr>
  </w:style>
  <w:style w:type="character" w:customStyle="1" w:styleId="Symbols">
    <w:name w:val="Symbols"/>
    <w:basedOn w:val="DefaultParagraphFont"/>
    <w:rsid w:val="00F8439D"/>
    <w:rPr>
      <w:rFonts w:ascii="Symbol" w:hAnsi="Symbol"/>
    </w:rPr>
  </w:style>
  <w:style w:type="character" w:customStyle="1" w:styleId="MenuOptions">
    <w:name w:val="Menu Options"/>
    <w:basedOn w:val="DefaultParagraphFont"/>
    <w:rsid w:val="00F843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39D"/>
    <w:rPr>
      <w:b/>
    </w:rPr>
  </w:style>
  <w:style w:type="character" w:customStyle="1" w:styleId="Underlined">
    <w:name w:val="Underlined"/>
    <w:basedOn w:val="DefaultParagraphFont"/>
    <w:rsid w:val="00F8439D"/>
    <w:rPr>
      <w:u w:val="single"/>
    </w:rPr>
  </w:style>
  <w:style w:type="paragraph" w:customStyle="1" w:styleId="TableBodyTextRight">
    <w:name w:val="Table Body Text Right"/>
    <w:basedOn w:val="TableBodyText"/>
    <w:rsid w:val="00F843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39D"/>
    <w:rPr>
      <w:sz w:val="18"/>
    </w:rPr>
  </w:style>
  <w:style w:type="paragraph" w:customStyle="1" w:styleId="BodySmallRight">
    <w:name w:val="Body Small Right"/>
    <w:basedOn w:val="BodyTextRight"/>
    <w:rsid w:val="00F8439D"/>
    <w:rPr>
      <w:sz w:val="18"/>
      <w:szCs w:val="18"/>
    </w:rPr>
  </w:style>
  <w:style w:type="paragraph" w:customStyle="1" w:styleId="MarginEdition">
    <w:name w:val="Margin Edition"/>
    <w:basedOn w:val="MarginNote"/>
    <w:rsid w:val="00F843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39D"/>
    <w:rPr>
      <w:sz w:val="2"/>
      <w:szCs w:val="2"/>
    </w:rPr>
  </w:style>
  <w:style w:type="character" w:customStyle="1" w:styleId="Small">
    <w:name w:val="Small"/>
    <w:basedOn w:val="DefaultParagraphFont"/>
    <w:rsid w:val="00F8439D"/>
    <w:rPr>
      <w:sz w:val="16"/>
    </w:rPr>
  </w:style>
  <w:style w:type="paragraph" w:customStyle="1" w:styleId="WideTable">
    <w:name w:val="Wide Table"/>
    <w:basedOn w:val="Normal"/>
    <w:rsid w:val="00F843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39D"/>
  </w:style>
  <w:style w:type="paragraph" w:styleId="Quote">
    <w:name w:val="Quote"/>
    <w:basedOn w:val="Heading1"/>
    <w:link w:val="QuoteChar"/>
    <w:qFormat/>
    <w:rsid w:val="00F843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3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39D"/>
    <w:pPr>
      <w:pageBreakBefore/>
    </w:pPr>
  </w:style>
  <w:style w:type="paragraph" w:customStyle="1" w:styleId="Border">
    <w:name w:val="Border"/>
    <w:basedOn w:val="Normal"/>
    <w:qFormat/>
    <w:rsid w:val="00F843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3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3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3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3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3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3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3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3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39D"/>
    <w:rPr>
      <w:u w:val="single"/>
    </w:rPr>
  </w:style>
  <w:style w:type="character" w:customStyle="1" w:styleId="BoldandItalics">
    <w:name w:val="Bold and Italics"/>
    <w:qFormat/>
    <w:rsid w:val="00F8439D"/>
    <w:rPr>
      <w:b/>
      <w:i/>
      <w:u w:val="none"/>
    </w:rPr>
  </w:style>
  <w:style w:type="paragraph" w:styleId="BalloonText">
    <w:name w:val="Balloon Text"/>
    <w:basedOn w:val="Normal"/>
    <w:link w:val="BalloonTextChar"/>
    <w:rsid w:val="00F843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3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3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3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3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3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39D"/>
    <w:pPr>
      <w:spacing w:before="0" w:after="0"/>
    </w:pPr>
  </w:style>
  <w:style w:type="paragraph" w:customStyle="1" w:styleId="BodyTextBold">
    <w:name w:val="Body Text Bold"/>
    <w:basedOn w:val="BodyText"/>
    <w:qFormat/>
    <w:rsid w:val="00F8439D"/>
    <w:rPr>
      <w:b/>
    </w:rPr>
  </w:style>
  <w:style w:type="character" w:styleId="Hyperlink">
    <w:name w:val="Hyperlink"/>
    <w:basedOn w:val="DefaultParagraphFont"/>
    <w:uiPriority w:val="99"/>
    <w:unhideWhenUsed/>
    <w:rsid w:val="00D024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847</Words>
  <Characters>5489</Characters>
  <Application>Microsoft Office Word</Application>
  <DocSecurity>0</DocSecurity>
  <Lines>203</Lines>
  <Paragraphs>124</Paragraphs>
  <ScaleCrop>false</ScaleCrop>
  <Company>Author-it Software Corporation Ltd.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CPCCON3047 Cut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2025-03-01T16:03:00Z</dcterms:created>
  <dcterms:modified xsi:type="dcterms:W3CDTF">2025-03-01T16:03:00Z</dcterms:modified>
</cp:coreProperties>
</file>