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FA2" w:rsidP="009F7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CPCCON3043 Cure concrete</w:t>
      </w:r>
      <w:r>
        <w:fldChar w:fldCharType="end"/>
      </w:r>
    </w:p>
    <w:p w:rsidR="009F7FA2" w:rsidP="009F7FA2">
      <w:pPr>
        <w:pStyle w:val="Version"/>
        <w:sectPr w:rsidSect="00B71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10E7" w:rsidP="00B710E7">
      <w:pPr>
        <w:pStyle w:val="SuperHeading"/>
      </w:pPr>
      <w:r w:rsidRPr="00B710E7">
        <w:t>Assessment Requirements for CPCCON3043 Cure concrete</w:t>
      </w:r>
    </w:p>
    <w:p w:rsidR="00000000" w:rsidRPr="00B710E7" w:rsidP="00B710E7">
      <w:pPr>
        <w:pStyle w:val="Heading1"/>
      </w:pPr>
      <w:bookmarkStart w:id="1" w:name="O_1293512"/>
      <w:bookmarkEnd w:id="1"/>
      <w:r w:rsidRPr="00B710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B7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0E7">
            <w:pPr>
              <w:pStyle w:val="BodyText"/>
              <w:rPr>
                <w:lang w:val="en-NZ"/>
              </w:rPr>
            </w:pPr>
            <w:r w:rsidRPr="00B710E7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0E7">
            <w:pPr>
              <w:pStyle w:val="BodyText"/>
              <w:rPr>
                <w:lang w:val="en-NZ"/>
              </w:rPr>
            </w:pPr>
            <w:r w:rsidRPr="00B710E7">
              <w:t>Updated reference to general construction induction training program.</w:t>
            </w:r>
          </w:p>
        </w:tc>
      </w:tr>
      <w:tr w:rsidTr="00B7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0E7">
            <w:pPr>
              <w:pStyle w:val="BodyText"/>
              <w:rPr>
                <w:lang w:val="en-NZ"/>
              </w:rPr>
            </w:pPr>
            <w:r w:rsidRPr="00B710E7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0E7" w:rsidP="00B710E7">
            <w:pPr>
              <w:pStyle w:val="BodyText"/>
            </w:pPr>
            <w:r w:rsidRPr="00B710E7">
              <w:t>This version first released with CPC Construction, Plumbing and Services Training Package Release 5.0.</w:t>
            </w:r>
          </w:p>
          <w:p w:rsidR="00000000" w:rsidRPr="00B710E7" w:rsidP="00B710E7">
            <w:pPr>
              <w:pStyle w:val="BodyText"/>
            </w:pPr>
            <w:r w:rsidRPr="00B710E7">
              <w:t>Supersedes and is equiv</w:t>
            </w:r>
            <w:r w:rsidRPr="00B710E7">
              <w:t>alent to CPCCCO3043 Cure concrete</w:t>
            </w:r>
          </w:p>
        </w:tc>
      </w:tr>
    </w:tbl>
    <w:p w:rsidR="00000000" w:rsidRPr="00B710E7" w:rsidP="00B710E7">
      <w:pPr>
        <w:pStyle w:val="BodyText"/>
      </w:pPr>
    </w:p>
    <w:p w:rsidR="00000000" w:rsidRPr="00B710E7" w:rsidP="00B710E7">
      <w:pPr>
        <w:pStyle w:val="AllowPageBreak"/>
      </w:pPr>
    </w:p>
    <w:p w:rsidR="00000000" w:rsidRPr="00B710E7" w:rsidP="00B710E7">
      <w:pPr>
        <w:pStyle w:val="Heading1"/>
      </w:pPr>
      <w:bookmarkStart w:id="2" w:name="O_1293511"/>
      <w:bookmarkEnd w:id="2"/>
      <w:r w:rsidRPr="00B710E7">
        <w:t>Performance Evidence</w:t>
      </w:r>
    </w:p>
    <w:p w:rsidR="00000000" w:rsidRPr="00B710E7" w:rsidP="009F7FA2">
      <w:pPr>
        <w:pStyle w:val="BodyText"/>
      </w:pPr>
      <w:r w:rsidRPr="00B710E7">
        <w:t>To demonstrate competency, a candidate must meet the elements and performance criteria of this unit by curing concrete in either a non-precast work environment or a precast work en</w:t>
      </w:r>
      <w:r w:rsidRPr="00B710E7">
        <w:t>vironment:</w:t>
      </w:r>
    </w:p>
    <w:p w:rsidR="00000000" w:rsidRPr="00B710E7" w:rsidP="00B710E7">
      <w:pPr>
        <w:pStyle w:val="ListBullet"/>
      </w:pPr>
      <w:r w:rsidRPr="00B710E7">
        <w:t>for the non-precast work environment, curing concrete at five different sites, each measuring at least 100 square metres</w:t>
      </w:r>
    </w:p>
    <w:p w:rsidR="00000000" w:rsidRPr="00B710E7" w:rsidP="00B710E7">
      <w:pPr>
        <w:pStyle w:val="ListBullet"/>
      </w:pPr>
      <w:r w:rsidRPr="00B710E7">
        <w:t>for the precast work environment, curing a minimum of three panels on five different occasions.</w:t>
      </w:r>
    </w:p>
    <w:p w:rsidR="00000000" w:rsidRPr="00B710E7" w:rsidP="009F7FA2">
      <w:pPr>
        <w:pStyle w:val="BodyText"/>
      </w:pPr>
      <w:r w:rsidRPr="00B710E7">
        <w:t>A total of two curing techniques must be used:</w:t>
      </w:r>
    </w:p>
    <w:p w:rsidR="00000000" w:rsidRPr="00B710E7" w:rsidP="00B710E7">
      <w:pPr>
        <w:pStyle w:val="ListBullet"/>
      </w:pPr>
      <w:r w:rsidRPr="00B710E7">
        <w:t>curing compound</w:t>
      </w:r>
    </w:p>
    <w:p w:rsidR="00000000" w:rsidRPr="00B710E7" w:rsidP="00B710E7">
      <w:pPr>
        <w:pStyle w:val="ListBullet"/>
      </w:pPr>
      <w:r w:rsidRPr="00B710E7">
        <w:t>another technique selected from the following:</w:t>
      </w:r>
    </w:p>
    <w:p w:rsidR="00000000" w:rsidRPr="00B710E7" w:rsidP="00B710E7">
      <w:pPr>
        <w:pStyle w:val="ListBullet2"/>
      </w:pPr>
      <w:r w:rsidRPr="00B710E7">
        <w:t>covering</w:t>
      </w:r>
    </w:p>
    <w:p w:rsidR="00000000" w:rsidRPr="00B710E7" w:rsidP="00B710E7">
      <w:pPr>
        <w:pStyle w:val="ListBullet2"/>
      </w:pPr>
      <w:r w:rsidRPr="00B710E7">
        <w:t>flooding or ponding</w:t>
      </w:r>
    </w:p>
    <w:p w:rsidR="00000000" w:rsidRPr="00B710E7" w:rsidP="00B710E7">
      <w:pPr>
        <w:pStyle w:val="ListBullet2"/>
      </w:pPr>
      <w:r w:rsidRPr="00B710E7">
        <w:t>fogging</w:t>
      </w:r>
    </w:p>
    <w:p w:rsidR="00000000" w:rsidRPr="00B710E7" w:rsidP="00B710E7">
      <w:pPr>
        <w:pStyle w:val="ListBullet2"/>
      </w:pPr>
      <w:r w:rsidRPr="00B710E7">
        <w:t>steaming.</w:t>
      </w:r>
    </w:p>
    <w:p w:rsidR="00000000" w:rsidRPr="00B710E7" w:rsidP="00B710E7">
      <w:pPr>
        <w:pStyle w:val="AllowPageBreak"/>
      </w:pPr>
    </w:p>
    <w:p w:rsidR="00000000" w:rsidRPr="00B710E7" w:rsidP="00B710E7">
      <w:pPr>
        <w:pStyle w:val="Heading1"/>
      </w:pPr>
      <w:bookmarkStart w:id="3" w:name="O_1293510"/>
      <w:bookmarkEnd w:id="3"/>
      <w:r w:rsidRPr="00B710E7">
        <w:t>Knowledge Evidence</w:t>
      </w:r>
    </w:p>
    <w:p w:rsidR="00000000" w:rsidRPr="00B710E7" w:rsidP="009F7FA2">
      <w:pPr>
        <w:pStyle w:val="BodyText"/>
      </w:pPr>
      <w:r w:rsidRPr="00B710E7">
        <w:t xml:space="preserve">To be competent in this unit, a candidate must demonstrate </w:t>
      </w:r>
      <w:r w:rsidRPr="00B710E7">
        <w:t>knowledge of:</w:t>
      </w:r>
    </w:p>
    <w:p w:rsidR="00000000" w:rsidRPr="00B710E7" w:rsidP="00B710E7">
      <w:pPr>
        <w:pStyle w:val="ListBullet"/>
      </w:pPr>
      <w:r w:rsidRPr="00B710E7">
        <w:t>basic science of concrete involving cement chemical reaction (hydration) dependent on water content, temperature and time:</w:t>
      </w:r>
    </w:p>
    <w:p w:rsidR="00000000" w:rsidRPr="00B710E7" w:rsidP="00B710E7">
      <w:pPr>
        <w:pStyle w:val="ListBullet2"/>
      </w:pPr>
      <w:r w:rsidRPr="00B710E7">
        <w:t>effect on plastic state performance</w:t>
      </w:r>
    </w:p>
    <w:p w:rsidR="00000000" w:rsidRPr="00B710E7" w:rsidP="00B710E7">
      <w:pPr>
        <w:pStyle w:val="ListBullet3"/>
      </w:pPr>
      <w:r w:rsidRPr="00B710E7">
        <w:t>benefits and non-benefits of admixture types and doses</w:t>
      </w:r>
    </w:p>
    <w:p w:rsidR="00000000" w:rsidRPr="00B710E7" w:rsidP="00B710E7">
      <w:pPr>
        <w:pStyle w:val="ListBullet3"/>
      </w:pPr>
      <w:r w:rsidRPr="00B710E7">
        <w:t>plastic shrinkage cracking risk</w:t>
      </w:r>
    </w:p>
    <w:p w:rsidR="00000000" w:rsidRPr="00B710E7" w:rsidP="00B710E7">
      <w:pPr>
        <w:pStyle w:val="ListBullet2"/>
      </w:pPr>
      <w:r w:rsidRPr="00B710E7">
        <w:t>effect on hardened state performance:</w:t>
      </w:r>
    </w:p>
    <w:p w:rsidR="00000000" w:rsidRPr="00B710E7" w:rsidP="00B710E7">
      <w:pPr>
        <w:pStyle w:val="ListBullet3"/>
      </w:pPr>
      <w:r w:rsidRPr="00B710E7">
        <w:t>early age and later age strength development</w:t>
      </w:r>
    </w:p>
    <w:p w:rsidR="00000000" w:rsidRPr="00B710E7" w:rsidP="00B710E7">
      <w:pPr>
        <w:pStyle w:val="ListBullet3"/>
      </w:pPr>
      <w:r w:rsidRPr="00B710E7">
        <w:t>drying shrinkage and cracking</w:t>
      </w:r>
    </w:p>
    <w:p w:rsidR="00000000" w:rsidRPr="00B710E7" w:rsidP="00B710E7">
      <w:pPr>
        <w:pStyle w:val="ListBullet"/>
      </w:pPr>
      <w:r w:rsidRPr="00B710E7">
        <w:t xml:space="preserve">compatibilities of curing compounds with different floor finishes including vinyl, timber and natural </w:t>
      </w:r>
      <w:r w:rsidRPr="00B710E7">
        <w:t>stone products</w:t>
      </w:r>
    </w:p>
    <w:p w:rsidR="00000000" w:rsidRPr="00B710E7" w:rsidP="00B710E7">
      <w:pPr>
        <w:pStyle w:val="ListBullet"/>
      </w:pPr>
      <w:r w:rsidRPr="00B710E7">
        <w:t>compliance requirements of legislation, regulations, codes and Australian Standards relevant to concrete curing tasks:</w:t>
      </w:r>
    </w:p>
    <w:p w:rsidR="00000000" w:rsidRPr="00B710E7" w:rsidP="00B710E7">
      <w:pPr>
        <w:pStyle w:val="ListBullet2"/>
      </w:pPr>
      <w:r w:rsidRPr="00B710E7">
        <w:t>environmental protection and waste disposal</w:t>
      </w:r>
    </w:p>
    <w:p w:rsidR="00000000" w:rsidRPr="00B710E7" w:rsidP="00B710E7">
      <w:pPr>
        <w:pStyle w:val="ListBullet2"/>
      </w:pPr>
      <w:r w:rsidRPr="00B710E7">
        <w:t>work health and safety (WHS)</w:t>
      </w:r>
    </w:p>
    <w:p w:rsidR="00000000" w:rsidRPr="00B710E7" w:rsidP="00B710E7">
      <w:pPr>
        <w:pStyle w:val="ListBullet"/>
      </w:pPr>
      <w:r w:rsidRPr="00B710E7">
        <w:t>concrete curing techniques:</w:t>
      </w:r>
    </w:p>
    <w:p w:rsidR="00000000" w:rsidRPr="00B710E7" w:rsidP="00B710E7">
      <w:pPr>
        <w:pStyle w:val="ListBullet2"/>
      </w:pPr>
      <w:r w:rsidRPr="00B710E7">
        <w:t>covering</w:t>
      </w:r>
    </w:p>
    <w:p w:rsidR="00000000" w:rsidRPr="00B710E7" w:rsidP="00B710E7">
      <w:pPr>
        <w:pStyle w:val="ListBullet2"/>
      </w:pPr>
      <w:r w:rsidRPr="00B710E7">
        <w:t>curing compound</w:t>
      </w:r>
    </w:p>
    <w:p w:rsidR="00000000" w:rsidRPr="00B710E7" w:rsidP="00B710E7">
      <w:pPr>
        <w:pStyle w:val="ListBullet2"/>
      </w:pPr>
      <w:r w:rsidRPr="00B710E7">
        <w:t>flooding or ponding</w:t>
      </w:r>
    </w:p>
    <w:p w:rsidR="00000000" w:rsidRPr="00B710E7" w:rsidP="00B710E7">
      <w:pPr>
        <w:pStyle w:val="ListBullet2"/>
      </w:pPr>
      <w:r w:rsidRPr="00B710E7">
        <w:t>fogging</w:t>
      </w:r>
    </w:p>
    <w:p w:rsidR="00000000" w:rsidRPr="00B710E7" w:rsidP="00B710E7">
      <w:pPr>
        <w:pStyle w:val="ListBullet2"/>
      </w:pPr>
      <w:r w:rsidRPr="00B710E7">
        <w:t>steaming</w:t>
      </w:r>
    </w:p>
    <w:p w:rsidR="00000000" w:rsidRPr="00B710E7" w:rsidP="00B710E7">
      <w:pPr>
        <w:pStyle w:val="ListBullet"/>
      </w:pPr>
      <w:r w:rsidRPr="00B710E7">
        <w:t>effects of temperature, wind and low humidity on the properties of concrete:</w:t>
      </w:r>
    </w:p>
    <w:p w:rsidR="00000000" w:rsidRPr="00B710E7" w:rsidP="00B710E7">
      <w:pPr>
        <w:pStyle w:val="ListBullet2"/>
      </w:pPr>
      <w:r w:rsidRPr="00B710E7">
        <w:t>detrimental effect of water addition to concrete properties</w:t>
      </w:r>
    </w:p>
    <w:p w:rsidR="00000000" w:rsidRPr="00B710E7" w:rsidP="00B710E7">
      <w:pPr>
        <w:pStyle w:val="ListBullet2"/>
      </w:pPr>
      <w:r w:rsidRPr="00B710E7">
        <w:t>precautions that should be taken to minimise any potential adver</w:t>
      </w:r>
      <w:r w:rsidRPr="00B710E7">
        <w:t>se effects when curing concrete</w:t>
      </w:r>
    </w:p>
    <w:p w:rsidR="00000000" w:rsidRPr="00B710E7" w:rsidP="00B710E7">
      <w:pPr>
        <w:pStyle w:val="ListBullet"/>
      </w:pPr>
      <w:r w:rsidRPr="00B710E7">
        <w:t>health risks associated with silica dust exposure</w:t>
      </w:r>
    </w:p>
    <w:p w:rsidR="00000000" w:rsidRPr="00B710E7" w:rsidP="00B710E7">
      <w:pPr>
        <w:pStyle w:val="ListBullet"/>
      </w:pPr>
      <w:r w:rsidRPr="00B710E7">
        <w:t>methods for calculating curing duration</w:t>
      </w:r>
    </w:p>
    <w:p w:rsidR="00000000" w:rsidRPr="00B710E7" w:rsidP="00B710E7">
      <w:pPr>
        <w:pStyle w:val="ListBullet"/>
      </w:pPr>
      <w:r w:rsidRPr="00B710E7">
        <w:t>specifications used to interpret material quantities and concrete curing requirements</w:t>
      </w:r>
    </w:p>
    <w:p w:rsidR="00000000" w:rsidRPr="00B710E7" w:rsidP="00B710E7">
      <w:pPr>
        <w:pStyle w:val="ListBullet"/>
      </w:pPr>
      <w:r w:rsidRPr="00B710E7">
        <w:t>types and applications of materials and compoun</w:t>
      </w:r>
      <w:r w:rsidRPr="00B710E7">
        <w:t>ds used when curing concrete</w:t>
      </w:r>
    </w:p>
    <w:p w:rsidR="00000000" w:rsidRPr="00B710E7" w:rsidP="00B710E7">
      <w:pPr>
        <w:pStyle w:val="ListBullet"/>
      </w:pPr>
      <w:r w:rsidRPr="00B710E7">
        <w:t>types, characteristics, uses and limitations of tools and equipment used when curing concrete</w:t>
      </w:r>
    </w:p>
    <w:p w:rsidR="00000000" w:rsidRPr="00B710E7" w:rsidP="00B710E7">
      <w:pPr>
        <w:pStyle w:val="ListBullet"/>
      </w:pPr>
      <w:r w:rsidRPr="00B710E7">
        <w:t>ways to minimise moisture loss during curing using different curing methods</w:t>
      </w:r>
    </w:p>
    <w:p w:rsidR="00000000" w:rsidRPr="00B710E7" w:rsidP="00B710E7">
      <w:pPr>
        <w:pStyle w:val="ListBullet"/>
      </w:pPr>
      <w:r w:rsidRPr="00B710E7">
        <w:t>workplace requirements for curing concrete:</w:t>
      </w:r>
    </w:p>
    <w:p w:rsidR="00000000" w:rsidRPr="00B710E7" w:rsidP="00B710E7">
      <w:pPr>
        <w:pStyle w:val="ListBullet2"/>
      </w:pPr>
      <w:r w:rsidRPr="00B710E7">
        <w:t>cleaning up the work area</w:t>
      </w:r>
    </w:p>
    <w:p w:rsidR="00000000" w:rsidRPr="00B710E7" w:rsidP="00B710E7">
      <w:pPr>
        <w:pStyle w:val="ListBullet2"/>
      </w:pPr>
      <w:r w:rsidRPr="00B710E7">
        <w:t>maintaining and storing materials, tools and equipment</w:t>
      </w:r>
    </w:p>
    <w:p w:rsidR="00000000" w:rsidRPr="00B710E7" w:rsidP="00B710E7">
      <w:pPr>
        <w:pStyle w:val="ListBullet2"/>
      </w:pPr>
      <w:r w:rsidRPr="00B710E7">
        <w:t>quality</w:t>
      </w:r>
    </w:p>
    <w:p w:rsidR="00000000" w:rsidRPr="00B710E7" w:rsidP="00B710E7">
      <w:pPr>
        <w:pStyle w:val="ListBullet2"/>
      </w:pPr>
      <w:r w:rsidRPr="00B710E7">
        <w:t>reporting problems</w:t>
      </w:r>
    </w:p>
    <w:p w:rsidR="00000000" w:rsidRPr="00B710E7" w:rsidP="00B710E7">
      <w:pPr>
        <w:pStyle w:val="ListBullet2"/>
      </w:pPr>
      <w:r w:rsidRPr="00B710E7">
        <w:t>safety requirements including personal protective equipment (PPE).</w:t>
      </w:r>
    </w:p>
    <w:p w:rsidR="00000000" w:rsidRPr="00B710E7" w:rsidP="00B710E7">
      <w:pPr>
        <w:pStyle w:val="AllowPageBreak"/>
      </w:pPr>
    </w:p>
    <w:p w:rsidR="00000000" w:rsidRPr="00B710E7" w:rsidP="00B710E7">
      <w:pPr>
        <w:pStyle w:val="Heading1"/>
      </w:pPr>
      <w:bookmarkStart w:id="4" w:name="O_1293509"/>
      <w:bookmarkEnd w:id="4"/>
      <w:r w:rsidRPr="00B710E7">
        <w:t>Assessment Conditions</w:t>
      </w:r>
    </w:p>
    <w:p w:rsidR="00000000" w:rsidRPr="00B710E7" w:rsidP="009F7FA2">
      <w:pPr>
        <w:pStyle w:val="BodyText"/>
      </w:pPr>
      <w:r w:rsidRPr="00B710E7">
        <w:t>Assessors must meet the requirements for</w:t>
      </w:r>
      <w:r w:rsidRPr="00B710E7">
        <w:t xml:space="preserve"> assessors contained in the Standards for Registered Training Organisations. </w:t>
      </w:r>
    </w:p>
    <w:p w:rsidR="00000000" w:rsidRPr="00B710E7" w:rsidP="009F7FA2">
      <w:pPr>
        <w:pStyle w:val="BodyText"/>
      </w:pPr>
      <w:r w:rsidRPr="00B710E7">
        <w:t>Assessment must be conducted in the workplace or a simulated workplace using realistic conditions, materials, activities, responsibilities, procedures, safety requirements and en</w:t>
      </w:r>
      <w:r w:rsidRPr="00B710E7">
        <w:t>vironmental considerations.</w:t>
      </w:r>
    </w:p>
    <w:p w:rsidR="00000000" w:rsidRPr="00B710E7" w:rsidP="009F7FA2">
      <w:pPr>
        <w:pStyle w:val="BodyText"/>
      </w:pPr>
      <w:r w:rsidRPr="00B710E7">
        <w:t>Candidates must have access to documentation, specifications, materials, tools and equipment required to achieve the performance evidence.</w:t>
      </w:r>
    </w:p>
    <w:p w:rsidR="00000000" w:rsidRPr="00B710E7" w:rsidP="00B710E7">
      <w:pPr>
        <w:pStyle w:val="Heading1"/>
      </w:pPr>
      <w:bookmarkStart w:id="5" w:name="O_1293522"/>
      <w:bookmarkEnd w:id="5"/>
      <w:r w:rsidRPr="00B710E7">
        <w:t>Links</w:t>
      </w:r>
    </w:p>
    <w:p w:rsidR="00000000" w:rsidRPr="00B710E7" w:rsidP="009F7FA2">
      <w:pPr>
        <w:pStyle w:val="BodyText"/>
      </w:pPr>
      <w:r w:rsidRPr="00B710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6DF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710E7" w:rsidP="00B710E7"/>
    <w:sectPr w:rsidSect="00B710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E7" w:rsidRPr="009F7FA2" w:rsidP="009F7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FA2" w:rsidP="00B71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FA2" w:rsidP="00B71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7FA2" w:rsidP="00B71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0E7" w:rsidRPr="009F7FA2" w:rsidP="009F7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FA2" w:rsidRPr="002D2AF8" w:rsidP="00B71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CPCCON3043 Cure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7FA2" w:rsidP="00B71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FA0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8D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E9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0E7"/>
  </w:style>
  <w:style w:type="character" w:customStyle="1" w:styleId="Heading1Char">
    <w:name w:val="Heading 1 Char"/>
    <w:basedOn w:val="DefaultParagraphFont"/>
    <w:link w:val="Heading1"/>
    <w:rsid w:val="00B71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0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0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10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10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1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0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0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0E7"/>
    <w:rPr>
      <w:b/>
      <w:spacing w:val="0"/>
    </w:rPr>
  </w:style>
  <w:style w:type="paragraph" w:customStyle="1" w:styleId="SuperTitle">
    <w:name w:val="SuperTitle"/>
    <w:basedOn w:val="Title"/>
    <w:rsid w:val="00B71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0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0E7"/>
    <w:rPr>
      <w:i/>
    </w:rPr>
  </w:style>
  <w:style w:type="paragraph" w:styleId="Caption">
    <w:name w:val="caption"/>
    <w:basedOn w:val="BodyText"/>
    <w:next w:val="Normal"/>
    <w:qFormat/>
    <w:rsid w:val="00B71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0E7"/>
  </w:style>
  <w:style w:type="paragraph" w:styleId="TableofFigures">
    <w:name w:val="table of figures"/>
    <w:basedOn w:val="Normal"/>
    <w:next w:val="Normal"/>
    <w:semiHidden/>
    <w:rsid w:val="00B71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0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10E7"/>
    <w:rPr>
      <w:rFonts w:ascii="Wingdings" w:hAnsi="Wingdings"/>
    </w:rPr>
  </w:style>
  <w:style w:type="paragraph" w:customStyle="1" w:styleId="TableHeading">
    <w:name w:val="Table Heading"/>
    <w:basedOn w:val="HeadingBase"/>
    <w:rsid w:val="00B71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0E7"/>
    <w:rPr>
      <w:color w:val="0033CC"/>
      <w:u w:val="none"/>
    </w:rPr>
  </w:style>
  <w:style w:type="paragraph" w:customStyle="1" w:styleId="BodyTextRight">
    <w:name w:val="Body Text Right"/>
    <w:basedOn w:val="BodyText"/>
    <w:rsid w:val="00B71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0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0E7"/>
    <w:rPr>
      <w:sz w:val="32"/>
    </w:rPr>
  </w:style>
  <w:style w:type="paragraph" w:customStyle="1" w:styleId="HeadingProcedure">
    <w:name w:val="Heading Procedure"/>
    <w:basedOn w:val="HeadingBase"/>
    <w:next w:val="Normal"/>
    <w:rsid w:val="00B71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0E7"/>
    <w:pPr>
      <w:spacing w:before="60" w:after="60"/>
    </w:pPr>
  </w:style>
  <w:style w:type="paragraph" w:styleId="ListContinue">
    <w:name w:val="List Continue"/>
    <w:basedOn w:val="List"/>
    <w:rsid w:val="00B710E7"/>
    <w:pPr>
      <w:ind w:firstLine="0"/>
    </w:pPr>
  </w:style>
  <w:style w:type="paragraph" w:customStyle="1" w:styleId="ListNote">
    <w:name w:val="List Note"/>
    <w:basedOn w:val="List"/>
    <w:rsid w:val="00B71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0E7"/>
    <w:rPr>
      <w:rFonts w:ascii="Courier New" w:hAnsi="Courier New"/>
    </w:rPr>
  </w:style>
  <w:style w:type="paragraph" w:customStyle="1" w:styleId="NoteBullet">
    <w:name w:val="Note Bullet"/>
    <w:basedOn w:val="Note"/>
    <w:rsid w:val="00B71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0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1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0E7"/>
    <w:rPr>
      <w:b/>
      <w:smallCaps/>
    </w:rPr>
  </w:style>
  <w:style w:type="paragraph" w:customStyle="1" w:styleId="TableListNumber">
    <w:name w:val="Table List Number"/>
    <w:basedOn w:val="ListNumber"/>
    <w:rsid w:val="00B71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0E7"/>
    <w:pPr>
      <w:numPr>
        <w:numId w:val="10"/>
      </w:numPr>
    </w:pPr>
  </w:style>
  <w:style w:type="paragraph" w:customStyle="1" w:styleId="ListAlpha2">
    <w:name w:val="List Alpha 2"/>
    <w:basedOn w:val="List2"/>
    <w:rsid w:val="00B710E7"/>
    <w:pPr>
      <w:numPr>
        <w:numId w:val="9"/>
      </w:numPr>
    </w:pPr>
  </w:style>
  <w:style w:type="paragraph" w:styleId="List2">
    <w:name w:val="List 2"/>
    <w:basedOn w:val="BodyText"/>
    <w:rsid w:val="00B71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0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10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10E7"/>
    <w:pPr>
      <w:numPr>
        <w:numId w:val="5"/>
      </w:numPr>
    </w:pPr>
  </w:style>
  <w:style w:type="paragraph" w:styleId="ListContinue2">
    <w:name w:val="List Continue 2"/>
    <w:basedOn w:val="List2"/>
    <w:rsid w:val="00B710E7"/>
    <w:pPr>
      <w:ind w:firstLine="0"/>
    </w:pPr>
  </w:style>
  <w:style w:type="paragraph" w:styleId="ListContinue3">
    <w:name w:val="List Continue 3"/>
    <w:basedOn w:val="List3"/>
    <w:rsid w:val="00B710E7"/>
    <w:pPr>
      <w:ind w:left="1021" w:firstLine="0"/>
    </w:pPr>
  </w:style>
  <w:style w:type="paragraph" w:styleId="ListContinue4">
    <w:name w:val="List Continue 4"/>
    <w:basedOn w:val="List4"/>
    <w:rsid w:val="00B710E7"/>
    <w:pPr>
      <w:ind w:firstLine="0"/>
    </w:pPr>
  </w:style>
  <w:style w:type="paragraph" w:styleId="ListContinue5">
    <w:name w:val="List Continue 5"/>
    <w:basedOn w:val="List5"/>
    <w:rsid w:val="00B710E7"/>
    <w:pPr>
      <w:ind w:firstLine="0"/>
    </w:pPr>
  </w:style>
  <w:style w:type="paragraph" w:styleId="ListNumber3">
    <w:name w:val="List Number 3"/>
    <w:basedOn w:val="List3"/>
    <w:rsid w:val="00B710E7"/>
    <w:pPr>
      <w:numPr>
        <w:numId w:val="6"/>
      </w:numPr>
    </w:pPr>
  </w:style>
  <w:style w:type="paragraph" w:styleId="ListNumber4">
    <w:name w:val="List Number 4"/>
    <w:basedOn w:val="List4"/>
    <w:rsid w:val="00B710E7"/>
    <w:pPr>
      <w:numPr>
        <w:numId w:val="7"/>
      </w:numPr>
    </w:pPr>
  </w:style>
  <w:style w:type="paragraph" w:styleId="ListNumber5">
    <w:name w:val="List Number 5"/>
    <w:basedOn w:val="List5"/>
    <w:rsid w:val="00B710E7"/>
    <w:pPr>
      <w:numPr>
        <w:numId w:val="8"/>
      </w:numPr>
    </w:pPr>
  </w:style>
  <w:style w:type="paragraph" w:styleId="BlockText">
    <w:name w:val="Block Text"/>
    <w:basedOn w:val="Normal"/>
    <w:rsid w:val="00B71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0E7"/>
    <w:rPr>
      <w:sz w:val="16"/>
      <w:vertAlign w:val="superscript"/>
    </w:rPr>
  </w:style>
  <w:style w:type="character" w:customStyle="1" w:styleId="Symbols">
    <w:name w:val="Symbols"/>
    <w:basedOn w:val="DefaultParagraphFont"/>
    <w:rsid w:val="00B710E7"/>
    <w:rPr>
      <w:rFonts w:ascii="Symbol" w:hAnsi="Symbol"/>
    </w:rPr>
  </w:style>
  <w:style w:type="character" w:customStyle="1" w:styleId="MenuOptions">
    <w:name w:val="Menu Options"/>
    <w:basedOn w:val="DefaultParagraphFont"/>
    <w:rsid w:val="00B71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0E7"/>
    <w:rPr>
      <w:b/>
    </w:rPr>
  </w:style>
  <w:style w:type="character" w:customStyle="1" w:styleId="Underlined">
    <w:name w:val="Underlined"/>
    <w:basedOn w:val="DefaultParagraphFont"/>
    <w:rsid w:val="00B710E7"/>
    <w:rPr>
      <w:u w:val="single"/>
    </w:rPr>
  </w:style>
  <w:style w:type="paragraph" w:customStyle="1" w:styleId="TableBodyTextRight">
    <w:name w:val="Table Body Text Right"/>
    <w:basedOn w:val="TableBodyText"/>
    <w:rsid w:val="00B71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0E7"/>
    <w:rPr>
      <w:sz w:val="18"/>
    </w:rPr>
  </w:style>
  <w:style w:type="paragraph" w:customStyle="1" w:styleId="BodySmallRight">
    <w:name w:val="Body Small Right"/>
    <w:basedOn w:val="BodyTextRight"/>
    <w:rsid w:val="00B710E7"/>
    <w:rPr>
      <w:sz w:val="18"/>
      <w:szCs w:val="18"/>
    </w:rPr>
  </w:style>
  <w:style w:type="paragraph" w:customStyle="1" w:styleId="MarginEdition">
    <w:name w:val="Margin Edition"/>
    <w:basedOn w:val="MarginNote"/>
    <w:rsid w:val="00B71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0E7"/>
    <w:rPr>
      <w:sz w:val="2"/>
      <w:szCs w:val="2"/>
    </w:rPr>
  </w:style>
  <w:style w:type="character" w:customStyle="1" w:styleId="Small">
    <w:name w:val="Small"/>
    <w:basedOn w:val="DefaultParagraphFont"/>
    <w:rsid w:val="00B710E7"/>
    <w:rPr>
      <w:sz w:val="16"/>
    </w:rPr>
  </w:style>
  <w:style w:type="paragraph" w:customStyle="1" w:styleId="WideTable">
    <w:name w:val="Wide Table"/>
    <w:basedOn w:val="Normal"/>
    <w:rsid w:val="00B71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0E7"/>
  </w:style>
  <w:style w:type="paragraph" w:styleId="Quote">
    <w:name w:val="Quote"/>
    <w:basedOn w:val="Heading1"/>
    <w:link w:val="QuoteChar"/>
    <w:qFormat/>
    <w:rsid w:val="00B71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0E7"/>
    <w:pPr>
      <w:pageBreakBefore/>
    </w:pPr>
  </w:style>
  <w:style w:type="paragraph" w:customStyle="1" w:styleId="Border">
    <w:name w:val="Border"/>
    <w:basedOn w:val="Normal"/>
    <w:qFormat/>
    <w:rsid w:val="00B71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0E7"/>
    <w:rPr>
      <w:u w:val="single"/>
    </w:rPr>
  </w:style>
  <w:style w:type="character" w:customStyle="1" w:styleId="BoldandItalics">
    <w:name w:val="Bold and Italics"/>
    <w:qFormat/>
    <w:rsid w:val="00B710E7"/>
    <w:rPr>
      <w:b/>
      <w:i/>
      <w:u w:val="none"/>
    </w:rPr>
  </w:style>
  <w:style w:type="paragraph" w:styleId="BalloonText">
    <w:name w:val="Balloon Text"/>
    <w:basedOn w:val="Normal"/>
    <w:link w:val="BalloonTextChar"/>
    <w:rsid w:val="00B71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0E7"/>
    <w:pPr>
      <w:spacing w:before="0" w:after="0"/>
    </w:pPr>
  </w:style>
  <w:style w:type="paragraph" w:customStyle="1" w:styleId="BodyTextBold">
    <w:name w:val="Body Text Bold"/>
    <w:basedOn w:val="BodyText"/>
    <w:qFormat/>
    <w:rsid w:val="00B710E7"/>
    <w:rPr>
      <w:b/>
    </w:rPr>
  </w:style>
  <w:style w:type="character" w:styleId="Hyperlink">
    <w:name w:val="Hyperlink"/>
    <w:basedOn w:val="DefaultParagraphFont"/>
    <w:uiPriority w:val="99"/>
    <w:unhideWhenUsed/>
    <w:rsid w:val="009F7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3074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CPCCON3043 Cure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