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6CC7" w:rsidP="00266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CPCCON3041 Place concrete</w:t>
      </w:r>
      <w:r>
        <w:fldChar w:fldCharType="end"/>
      </w:r>
    </w:p>
    <w:p w:rsidR="00266CC7" w:rsidP="00266CC7">
      <w:pPr>
        <w:pStyle w:val="Version"/>
        <w:sectPr w:rsidSect="00A61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1D9C" w:rsidP="00A61D9C">
      <w:pPr>
        <w:pStyle w:val="SuperHeading"/>
      </w:pPr>
      <w:r w:rsidRPr="00A61D9C">
        <w:t>Assessment Requirements for CPCCON3041 Place concrete</w:t>
      </w:r>
    </w:p>
    <w:p w:rsidR="00000000" w:rsidRPr="00A61D9C" w:rsidP="00A61D9C">
      <w:pPr>
        <w:pStyle w:val="Heading1"/>
      </w:pPr>
      <w:bookmarkStart w:id="1" w:name="O_1293544"/>
      <w:bookmarkEnd w:id="1"/>
      <w:r w:rsidRPr="00A61D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A6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D9C">
            <w:pPr>
              <w:pStyle w:val="BodyText"/>
              <w:rPr>
                <w:lang w:val="en-NZ"/>
              </w:rPr>
            </w:pPr>
            <w:r w:rsidRPr="00A61D9C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D9C">
            <w:pPr>
              <w:pStyle w:val="BodyText"/>
              <w:rPr>
                <w:lang w:val="en-NZ"/>
              </w:rPr>
            </w:pPr>
            <w:r w:rsidRPr="00A61D9C">
              <w:t>Updated reference to general construction induction training program.</w:t>
            </w:r>
          </w:p>
        </w:tc>
      </w:tr>
      <w:tr w:rsidTr="00A6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D9C">
            <w:pPr>
              <w:pStyle w:val="BodyText"/>
              <w:rPr>
                <w:lang w:val="en-NZ"/>
              </w:rPr>
            </w:pPr>
            <w:r w:rsidRPr="00A61D9C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D9C" w:rsidP="00A61D9C">
            <w:pPr>
              <w:pStyle w:val="BodyText"/>
            </w:pPr>
            <w:r w:rsidRPr="00A61D9C">
              <w:t>This version first released with CPC Construction, Plumbing and Services Training Package Release 5.0.</w:t>
            </w:r>
          </w:p>
          <w:p w:rsidR="00000000" w:rsidRPr="00A61D9C" w:rsidP="00A61D9C">
            <w:pPr>
              <w:pStyle w:val="BodyText"/>
            </w:pPr>
            <w:r w:rsidRPr="00A61D9C">
              <w:t>Supersedes and is equiv</w:t>
            </w:r>
            <w:r w:rsidRPr="00A61D9C">
              <w:t>alent to CPCCCO3041 Place concrete.</w:t>
            </w:r>
          </w:p>
        </w:tc>
      </w:tr>
    </w:tbl>
    <w:p w:rsidR="00000000" w:rsidRPr="00A61D9C" w:rsidP="00A61D9C">
      <w:pPr>
        <w:pStyle w:val="BodyText"/>
      </w:pPr>
    </w:p>
    <w:p w:rsidR="00000000" w:rsidRPr="00A61D9C" w:rsidP="00A61D9C">
      <w:pPr>
        <w:pStyle w:val="AllowPageBreak"/>
      </w:pPr>
    </w:p>
    <w:p w:rsidR="00000000" w:rsidRPr="00A61D9C" w:rsidP="00A61D9C">
      <w:pPr>
        <w:pStyle w:val="Heading1"/>
      </w:pPr>
      <w:bookmarkStart w:id="2" w:name="O_1293543"/>
      <w:bookmarkEnd w:id="2"/>
      <w:r w:rsidRPr="00A61D9C">
        <w:t>Performance Evidence</w:t>
      </w:r>
    </w:p>
    <w:p w:rsidR="00000000" w:rsidRPr="00A61D9C" w:rsidP="00266CC7">
      <w:pPr>
        <w:pStyle w:val="BodyText"/>
      </w:pPr>
      <w:r w:rsidRPr="00A61D9C">
        <w:t>To demonstrate competency, a candidate must meet the elements and performance criteria of this unit by placing concrete in either a non-precast work environment or a precast work</w:t>
      </w:r>
      <w:r w:rsidRPr="00A61D9C">
        <w:t xml:space="preserve"> environment:</w:t>
      </w:r>
    </w:p>
    <w:p w:rsidR="00000000" w:rsidRPr="00A61D9C" w:rsidP="00A61D9C">
      <w:pPr>
        <w:pStyle w:val="ListBullet"/>
      </w:pPr>
      <w:r w:rsidRPr="00A61D9C">
        <w:t>for the non-precast work environment, placing concrete at five different sites:</w:t>
      </w:r>
    </w:p>
    <w:p w:rsidR="00000000" w:rsidRPr="00A61D9C" w:rsidP="00A61D9C">
      <w:pPr>
        <w:pStyle w:val="ListBullet2"/>
      </w:pPr>
      <w:r w:rsidRPr="00A61D9C">
        <w:t>each site must measure at least 100 square metres</w:t>
      </w:r>
    </w:p>
    <w:p w:rsidR="00000000" w:rsidRPr="00A61D9C" w:rsidP="00A61D9C">
      <w:pPr>
        <w:pStyle w:val="ListBullet2"/>
      </w:pPr>
      <w:r w:rsidRPr="00A61D9C">
        <w:t>one site must include a fall of at least 25 millimetres over 1 metre in distance</w:t>
      </w:r>
    </w:p>
    <w:p w:rsidR="00000000" w:rsidRPr="00A61D9C" w:rsidP="00A61D9C">
      <w:pPr>
        <w:pStyle w:val="ListBullet"/>
      </w:pPr>
      <w:r w:rsidRPr="00A61D9C">
        <w:t>for the precast work environment, on five different occasions, placing concrete for a minimum of three panels involving more than one truck load of concrete.</w:t>
      </w:r>
    </w:p>
    <w:p w:rsidR="00000000" w:rsidRPr="00A61D9C" w:rsidP="00A61D9C">
      <w:pPr>
        <w:pStyle w:val="AllowPageBreak"/>
      </w:pPr>
    </w:p>
    <w:p w:rsidR="00000000" w:rsidRPr="00A61D9C" w:rsidP="00A61D9C">
      <w:pPr>
        <w:pStyle w:val="Heading1"/>
      </w:pPr>
      <w:bookmarkStart w:id="3" w:name="O_1293542"/>
      <w:bookmarkEnd w:id="3"/>
      <w:r w:rsidRPr="00A61D9C">
        <w:t>Knowledge Evidence</w:t>
      </w:r>
    </w:p>
    <w:p w:rsidR="00000000" w:rsidRPr="00A61D9C" w:rsidP="00266CC7">
      <w:pPr>
        <w:pStyle w:val="BodyText"/>
      </w:pPr>
      <w:r w:rsidRPr="00A61D9C">
        <w:t>To be competent in this unit, a candidate must demonstrate k</w:t>
      </w:r>
      <w:r w:rsidRPr="00A61D9C">
        <w:t>nowledge of:</w:t>
      </w:r>
    </w:p>
    <w:p w:rsidR="00000000" w:rsidRPr="00A61D9C" w:rsidP="00A61D9C">
      <w:pPr>
        <w:pStyle w:val="ListBullet"/>
      </w:pPr>
      <w:r w:rsidRPr="00A61D9C">
        <w:t>basic science of concrete involving cement chemical reaction (hydration) dependent on water content, temperature and time:</w:t>
      </w:r>
    </w:p>
    <w:p w:rsidR="00000000" w:rsidRPr="00A61D9C" w:rsidP="00A61D9C">
      <w:pPr>
        <w:pStyle w:val="ListBullet2"/>
      </w:pPr>
      <w:r w:rsidRPr="00A61D9C">
        <w:t>effect on plastic state performance:</w:t>
      </w:r>
    </w:p>
    <w:p w:rsidR="00000000" w:rsidRPr="00A61D9C" w:rsidP="00A61D9C">
      <w:pPr>
        <w:pStyle w:val="ListBullet3"/>
      </w:pPr>
      <w:r w:rsidRPr="00A61D9C">
        <w:t>benefits and non-benefits of admixture types and doses</w:t>
      </w:r>
    </w:p>
    <w:p w:rsidR="00000000" w:rsidRPr="00A61D9C" w:rsidP="00A61D9C">
      <w:pPr>
        <w:pStyle w:val="ListBullet3"/>
      </w:pPr>
      <w:r w:rsidRPr="00A61D9C">
        <w:t>plastic shrinkage cracking risk</w:t>
      </w:r>
    </w:p>
    <w:p w:rsidR="00000000" w:rsidRPr="00A61D9C" w:rsidP="00A61D9C">
      <w:pPr>
        <w:pStyle w:val="ListBullet2"/>
      </w:pPr>
      <w:r w:rsidRPr="00A61D9C">
        <w:t>effect on hardened state performance:</w:t>
      </w:r>
    </w:p>
    <w:p w:rsidR="00000000" w:rsidRPr="00A61D9C" w:rsidP="00A61D9C">
      <w:pPr>
        <w:pStyle w:val="ListBullet3"/>
      </w:pPr>
      <w:r w:rsidRPr="00A61D9C">
        <w:t>early age and later age strength development</w:t>
      </w:r>
    </w:p>
    <w:p w:rsidR="00000000" w:rsidRPr="00A61D9C" w:rsidP="00A61D9C">
      <w:pPr>
        <w:pStyle w:val="ListBullet3"/>
      </w:pPr>
      <w:r w:rsidRPr="00A61D9C">
        <w:t>drying shrinkage and cracking</w:t>
      </w:r>
    </w:p>
    <w:p w:rsidR="00000000" w:rsidRPr="00A61D9C" w:rsidP="00A61D9C">
      <w:pPr>
        <w:pStyle w:val="ListBullet"/>
      </w:pPr>
      <w:r w:rsidRPr="00A61D9C">
        <w:t>compliance requirements of legislation, regulations, codes and Australian Standards relevant to concrete pla</w:t>
      </w:r>
      <w:r w:rsidRPr="00A61D9C">
        <w:t>cement tasks:</w:t>
      </w:r>
    </w:p>
    <w:p w:rsidR="00000000" w:rsidRPr="00A61D9C" w:rsidP="00A61D9C">
      <w:pPr>
        <w:pStyle w:val="ListBullet2"/>
      </w:pPr>
      <w:r w:rsidRPr="00A61D9C">
        <w:t>damp proofing</w:t>
      </w:r>
    </w:p>
    <w:p w:rsidR="00000000" w:rsidRPr="00A61D9C" w:rsidP="00A61D9C">
      <w:pPr>
        <w:pStyle w:val="ListBullet2"/>
      </w:pPr>
      <w:r w:rsidRPr="00A61D9C">
        <w:t>environmental protection and waste disposal</w:t>
      </w:r>
    </w:p>
    <w:p w:rsidR="00000000" w:rsidRPr="00A61D9C" w:rsidP="00A61D9C">
      <w:pPr>
        <w:pStyle w:val="ListBullet2"/>
      </w:pPr>
      <w:r w:rsidRPr="00A61D9C">
        <w:t>material specifications and placement tolerances</w:t>
      </w:r>
    </w:p>
    <w:p w:rsidR="00000000" w:rsidRPr="00A61D9C" w:rsidP="00A61D9C">
      <w:pPr>
        <w:pStyle w:val="ListBullet2"/>
      </w:pPr>
      <w:r w:rsidRPr="00A61D9C">
        <w:t>minimum and maximum temperature limits for pouring concrete</w:t>
      </w:r>
    </w:p>
    <w:p w:rsidR="00000000" w:rsidRPr="00A61D9C" w:rsidP="00A61D9C">
      <w:pPr>
        <w:pStyle w:val="ListBullet2"/>
      </w:pPr>
      <w:r w:rsidRPr="00A61D9C">
        <w:t>work health and safety (WHS)</w:t>
      </w:r>
    </w:p>
    <w:p w:rsidR="00000000" w:rsidRPr="00A61D9C" w:rsidP="00A61D9C">
      <w:pPr>
        <w:pStyle w:val="ListBullet"/>
      </w:pPr>
      <w:r w:rsidRPr="00A61D9C">
        <w:t>concrete placement techniques:</w:t>
      </w:r>
    </w:p>
    <w:p w:rsidR="00000000" w:rsidRPr="00A61D9C" w:rsidP="00A61D9C">
      <w:pPr>
        <w:pStyle w:val="ListBullet2"/>
      </w:pPr>
      <w:r w:rsidRPr="00A61D9C">
        <w:t xml:space="preserve">horizontal layering </w:t>
      </w:r>
    </w:p>
    <w:p w:rsidR="00000000" w:rsidRPr="00A61D9C" w:rsidP="00A61D9C">
      <w:pPr>
        <w:pStyle w:val="ListBullet2"/>
      </w:pPr>
      <w:r w:rsidRPr="00A61D9C">
        <w:t>controlling vertical drop</w:t>
      </w:r>
    </w:p>
    <w:p w:rsidR="00000000" w:rsidRPr="00A61D9C" w:rsidP="00A61D9C">
      <w:pPr>
        <w:pStyle w:val="ListBullet2"/>
      </w:pPr>
      <w:r w:rsidRPr="00A61D9C">
        <w:t>cold joints and how to manage them effectively</w:t>
      </w:r>
    </w:p>
    <w:p w:rsidR="00000000" w:rsidRPr="00A61D9C" w:rsidP="00A61D9C">
      <w:pPr>
        <w:pStyle w:val="ListBullet2"/>
      </w:pPr>
      <w:r w:rsidRPr="00A61D9C">
        <w:t>consolidation</w:t>
      </w:r>
    </w:p>
    <w:p w:rsidR="00000000" w:rsidRPr="00A61D9C" w:rsidP="00A61D9C">
      <w:pPr>
        <w:pStyle w:val="ListBullet2"/>
      </w:pPr>
      <w:r w:rsidRPr="00A61D9C">
        <w:t>concrete reinforcement</w:t>
      </w:r>
    </w:p>
    <w:p w:rsidR="00000000" w:rsidRPr="00A61D9C" w:rsidP="00A61D9C">
      <w:pPr>
        <w:pStyle w:val="ListBullet2"/>
      </w:pPr>
      <w:r w:rsidRPr="00A61D9C">
        <w:t xml:space="preserve">levelling </w:t>
      </w:r>
    </w:p>
    <w:p w:rsidR="00000000" w:rsidRPr="00A61D9C" w:rsidP="00A61D9C">
      <w:pPr>
        <w:pStyle w:val="ListBullet2"/>
      </w:pPr>
      <w:r w:rsidRPr="00A61D9C">
        <w:t>screeding</w:t>
      </w:r>
    </w:p>
    <w:p w:rsidR="00000000" w:rsidRPr="00A61D9C" w:rsidP="00A61D9C">
      <w:pPr>
        <w:pStyle w:val="ListBullet"/>
      </w:pPr>
      <w:r w:rsidRPr="00A61D9C">
        <w:t xml:space="preserve">correct positioning of reinforcement for different concrete products to ensure reinforcement is free </w:t>
      </w:r>
      <w:r w:rsidRPr="00A61D9C">
        <w:t>from movement and has the correct cover within tolerance</w:t>
      </w:r>
    </w:p>
    <w:p w:rsidR="00000000" w:rsidRPr="00A61D9C" w:rsidP="00A61D9C">
      <w:pPr>
        <w:pStyle w:val="ListBullet"/>
      </w:pPr>
      <w:r w:rsidRPr="00A61D9C">
        <w:t>correct concrete compaction and vibration techniques and risks associated with improper vibration</w:t>
      </w:r>
    </w:p>
    <w:p w:rsidR="00000000" w:rsidRPr="00A61D9C" w:rsidP="00A61D9C">
      <w:pPr>
        <w:pStyle w:val="ListBullet"/>
      </w:pPr>
      <w:r w:rsidRPr="00A61D9C">
        <w:t>effects of temperature, wind and low humidity on the properties of concrete:</w:t>
      </w:r>
    </w:p>
    <w:p w:rsidR="00000000" w:rsidRPr="00A61D9C" w:rsidP="00A61D9C">
      <w:pPr>
        <w:pStyle w:val="ListBullet2"/>
      </w:pPr>
      <w:r w:rsidRPr="00A61D9C">
        <w:t>detrimental effect of w</w:t>
      </w:r>
      <w:r w:rsidRPr="00A61D9C">
        <w:t>ater addition to concrete properties</w:t>
      </w:r>
    </w:p>
    <w:p w:rsidR="00000000" w:rsidRPr="00A61D9C" w:rsidP="00A61D9C">
      <w:pPr>
        <w:pStyle w:val="ListBullet2"/>
      </w:pPr>
      <w:r w:rsidRPr="00A61D9C">
        <w:t>precautions that should be taken to minimise any potential adverse effects when placing concrete</w:t>
      </w:r>
    </w:p>
    <w:p w:rsidR="00000000" w:rsidRPr="00A61D9C" w:rsidP="00A61D9C">
      <w:pPr>
        <w:pStyle w:val="ListBullet"/>
      </w:pPr>
      <w:r w:rsidRPr="00A61D9C">
        <w:t>health risks associated with silica dust exposure</w:t>
      </w:r>
    </w:p>
    <w:p w:rsidR="00000000" w:rsidRPr="00A61D9C" w:rsidP="00A61D9C">
      <w:pPr>
        <w:pStyle w:val="ListBullet"/>
      </w:pPr>
      <w:r w:rsidRPr="00A61D9C">
        <w:t>preparation requirements of concrete placement locations:</w:t>
      </w:r>
    </w:p>
    <w:p w:rsidR="00000000" w:rsidRPr="00A61D9C" w:rsidP="00A61D9C">
      <w:pPr>
        <w:pStyle w:val="ListBullet2"/>
      </w:pPr>
      <w:r w:rsidRPr="00A61D9C">
        <w:t>single slab</w:t>
      </w:r>
    </w:p>
    <w:p w:rsidR="00000000" w:rsidRPr="00A61D9C" w:rsidP="00A61D9C">
      <w:pPr>
        <w:pStyle w:val="ListBullet2"/>
      </w:pPr>
      <w:r w:rsidRPr="00A61D9C">
        <w:t>multi-level slab</w:t>
      </w:r>
    </w:p>
    <w:p w:rsidR="00000000" w:rsidRPr="00A61D9C" w:rsidP="00A61D9C">
      <w:pPr>
        <w:pStyle w:val="ListBullet2"/>
      </w:pPr>
      <w:r w:rsidRPr="00A61D9C">
        <w:t>set down and wet areas</w:t>
      </w:r>
    </w:p>
    <w:p w:rsidR="00000000" w:rsidRPr="00A61D9C" w:rsidP="00A61D9C">
      <w:pPr>
        <w:pStyle w:val="ListBullet2"/>
      </w:pPr>
      <w:r w:rsidRPr="00A61D9C">
        <w:t>temporary formwork</w:t>
      </w:r>
    </w:p>
    <w:p w:rsidR="00000000" w:rsidRPr="00A61D9C" w:rsidP="00A61D9C">
      <w:pPr>
        <w:pStyle w:val="ListBullet"/>
      </w:pPr>
      <w:r w:rsidRPr="00A61D9C">
        <w:t>processes for calculating material requirements at various times throughout a concrete pour</w:t>
      </w:r>
    </w:p>
    <w:p w:rsidR="00000000" w:rsidRPr="00A61D9C" w:rsidP="00A61D9C">
      <w:pPr>
        <w:pStyle w:val="ListBullet"/>
      </w:pPr>
      <w:r w:rsidRPr="00A61D9C">
        <w:t>processes for determining levels indicated by:</w:t>
      </w:r>
    </w:p>
    <w:p w:rsidR="00000000" w:rsidRPr="00A61D9C" w:rsidP="00A61D9C">
      <w:pPr>
        <w:pStyle w:val="ListBullet2"/>
      </w:pPr>
      <w:r w:rsidRPr="00A61D9C">
        <w:t>level pegs</w:t>
      </w:r>
    </w:p>
    <w:p w:rsidR="00000000" w:rsidRPr="00A61D9C" w:rsidP="00A61D9C">
      <w:pPr>
        <w:pStyle w:val="ListBullet2"/>
      </w:pPr>
      <w:r w:rsidRPr="00A61D9C">
        <w:t>lines</w:t>
      </w:r>
    </w:p>
    <w:p w:rsidR="00000000" w:rsidRPr="00A61D9C" w:rsidP="00A61D9C">
      <w:pPr>
        <w:pStyle w:val="ListBullet2"/>
      </w:pPr>
      <w:r w:rsidRPr="00A61D9C">
        <w:t>markers</w:t>
      </w:r>
    </w:p>
    <w:p w:rsidR="00000000" w:rsidRPr="00A61D9C" w:rsidP="00A61D9C">
      <w:pPr>
        <w:pStyle w:val="ListBullet"/>
      </w:pPr>
      <w:r w:rsidRPr="00A61D9C">
        <w:t>purpose and importance of slump testing and the impact to concrete strength and durability of adding water on site:</w:t>
      </w:r>
    </w:p>
    <w:p w:rsidR="00000000" w:rsidRPr="00A61D9C" w:rsidP="00A61D9C">
      <w:pPr>
        <w:pStyle w:val="ListBullet2"/>
      </w:pPr>
      <w:r w:rsidRPr="00A61D9C">
        <w:t>drying shrinkage</w:t>
      </w:r>
    </w:p>
    <w:p w:rsidR="00000000" w:rsidRPr="00A61D9C" w:rsidP="00A61D9C">
      <w:pPr>
        <w:pStyle w:val="ListBullet2"/>
      </w:pPr>
      <w:r w:rsidRPr="00A61D9C">
        <w:t>early age strength</w:t>
      </w:r>
    </w:p>
    <w:p w:rsidR="00000000" w:rsidRPr="00A61D9C" w:rsidP="00A61D9C">
      <w:pPr>
        <w:pStyle w:val="ListBullet2"/>
      </w:pPr>
      <w:r w:rsidRPr="00A61D9C">
        <w:t>density</w:t>
      </w:r>
    </w:p>
    <w:p w:rsidR="00000000" w:rsidRPr="00A61D9C" w:rsidP="00A61D9C">
      <w:pPr>
        <w:pStyle w:val="ListBullet2"/>
      </w:pPr>
      <w:r w:rsidRPr="00A61D9C">
        <w:t>cracking</w:t>
      </w:r>
    </w:p>
    <w:p w:rsidR="00000000" w:rsidRPr="00A61D9C" w:rsidP="00A61D9C">
      <w:pPr>
        <w:pStyle w:val="ListBullet2"/>
      </w:pPr>
      <w:r w:rsidRPr="00A61D9C">
        <w:t>discolouration</w:t>
      </w:r>
    </w:p>
    <w:p w:rsidR="00000000" w:rsidRPr="00A61D9C" w:rsidP="00A61D9C">
      <w:pPr>
        <w:pStyle w:val="ListBullet"/>
      </w:pPr>
      <w:r w:rsidRPr="00A61D9C">
        <w:t>specifications used to interpret concrete placement requirements:</w:t>
      </w:r>
    </w:p>
    <w:p w:rsidR="00000000" w:rsidRPr="00A61D9C" w:rsidP="00A61D9C">
      <w:pPr>
        <w:pStyle w:val="ListBullet2"/>
      </w:pPr>
      <w:r w:rsidRPr="00A61D9C">
        <w:t>met</w:t>
      </w:r>
      <w:r w:rsidRPr="00A61D9C">
        <w:t>hods for calculating concrete quantities</w:t>
      </w:r>
    </w:p>
    <w:p w:rsidR="00000000" w:rsidRPr="00A61D9C" w:rsidP="00A61D9C">
      <w:pPr>
        <w:pStyle w:val="ListBullet2"/>
      </w:pPr>
      <w:r w:rsidRPr="00A61D9C">
        <w:t>methods for checking minimum strength and mix specifications</w:t>
      </w:r>
    </w:p>
    <w:p w:rsidR="00000000" w:rsidRPr="00A61D9C" w:rsidP="00A61D9C">
      <w:pPr>
        <w:pStyle w:val="ListBullet2"/>
      </w:pPr>
      <w:r w:rsidRPr="00A61D9C">
        <w:t>types and applications of concrete materials</w:t>
      </w:r>
    </w:p>
    <w:p w:rsidR="00000000" w:rsidRPr="00A61D9C" w:rsidP="00A61D9C">
      <w:pPr>
        <w:pStyle w:val="ListBullet"/>
      </w:pPr>
      <w:r w:rsidRPr="00A61D9C">
        <w:t>types and purpose of concrete additives</w:t>
      </w:r>
    </w:p>
    <w:p w:rsidR="00000000" w:rsidRPr="00A61D9C" w:rsidP="00A61D9C">
      <w:pPr>
        <w:pStyle w:val="ListBullet"/>
      </w:pPr>
      <w:r w:rsidRPr="00A61D9C">
        <w:t>types, characteristics, uses an</w:t>
      </w:r>
      <w:r w:rsidRPr="00A61D9C">
        <w:t>d limitations of plant, tools, equipment and materials used when placing concrete</w:t>
      </w:r>
    </w:p>
    <w:p w:rsidR="00000000" w:rsidRPr="00A61D9C" w:rsidP="00A61D9C">
      <w:pPr>
        <w:pStyle w:val="ListBullet"/>
      </w:pPr>
      <w:r w:rsidRPr="00A61D9C">
        <w:t>workplace requirements for placing concrete:</w:t>
      </w:r>
    </w:p>
    <w:p w:rsidR="00000000" w:rsidRPr="00A61D9C" w:rsidP="00A61D9C">
      <w:pPr>
        <w:pStyle w:val="ListBullet2"/>
      </w:pPr>
      <w:r w:rsidRPr="00A61D9C">
        <w:t>cleaning up the work area</w:t>
      </w:r>
    </w:p>
    <w:p w:rsidR="00000000" w:rsidRPr="00A61D9C" w:rsidP="00A61D9C">
      <w:pPr>
        <w:pStyle w:val="ListBullet2"/>
      </w:pPr>
      <w:r w:rsidRPr="00A61D9C">
        <w:t>maintaining and storing plant, tools and equipment</w:t>
      </w:r>
    </w:p>
    <w:p w:rsidR="00000000" w:rsidRPr="00A61D9C" w:rsidP="00A61D9C">
      <w:pPr>
        <w:pStyle w:val="ListBullet2"/>
      </w:pPr>
      <w:r w:rsidRPr="00A61D9C">
        <w:t>placing orders for shortfalls in materials</w:t>
      </w:r>
    </w:p>
    <w:p w:rsidR="00000000" w:rsidRPr="00A61D9C" w:rsidP="00A61D9C">
      <w:pPr>
        <w:pStyle w:val="ListBullet2"/>
      </w:pPr>
      <w:r w:rsidRPr="00A61D9C">
        <w:t>quality</w:t>
      </w:r>
    </w:p>
    <w:p w:rsidR="00000000" w:rsidRPr="00A61D9C" w:rsidP="00A61D9C">
      <w:pPr>
        <w:pStyle w:val="ListBullet2"/>
      </w:pPr>
      <w:r w:rsidRPr="00A61D9C">
        <w:t>reporting problems</w:t>
      </w:r>
    </w:p>
    <w:p w:rsidR="00000000" w:rsidRPr="00A61D9C" w:rsidP="00A61D9C">
      <w:pPr>
        <w:pStyle w:val="ListBullet2"/>
      </w:pPr>
      <w:r w:rsidRPr="00A61D9C">
        <w:t>safety requirements including personal protective equipment (PPE).</w:t>
      </w:r>
    </w:p>
    <w:p w:rsidR="00000000" w:rsidRPr="00A61D9C" w:rsidP="00A61D9C">
      <w:pPr>
        <w:pStyle w:val="AllowPageBreak"/>
      </w:pPr>
    </w:p>
    <w:p w:rsidR="00000000" w:rsidRPr="00A61D9C" w:rsidP="00A61D9C">
      <w:pPr>
        <w:pStyle w:val="Heading1"/>
      </w:pPr>
      <w:bookmarkStart w:id="4" w:name="O_1293541"/>
      <w:bookmarkEnd w:id="4"/>
      <w:r w:rsidRPr="00A61D9C">
        <w:t>Assessment Conditions</w:t>
      </w:r>
    </w:p>
    <w:p w:rsidR="00000000" w:rsidRPr="00A61D9C" w:rsidP="00266CC7">
      <w:pPr>
        <w:pStyle w:val="BodyText"/>
      </w:pPr>
      <w:r w:rsidRPr="00A61D9C">
        <w:t xml:space="preserve">Assessors must meet the requirements for assessors contained in the Standards for Registered Training Organisations. </w:t>
      </w:r>
    </w:p>
    <w:p w:rsidR="00000000" w:rsidRPr="00A61D9C" w:rsidP="00266CC7">
      <w:pPr>
        <w:pStyle w:val="BodyText"/>
      </w:pPr>
      <w:r w:rsidRPr="00A61D9C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A61D9C" w:rsidP="00266CC7">
      <w:pPr>
        <w:pStyle w:val="BodyText"/>
      </w:pPr>
      <w:r w:rsidRPr="00A61D9C">
        <w:t>Candidates must have access to documentation, spec</w:t>
      </w:r>
      <w:r w:rsidRPr="00A61D9C">
        <w:t>ifications, work sites, materials, plant, tools and equipment required to achieve the performance evidence.</w:t>
      </w:r>
    </w:p>
    <w:p w:rsidR="00000000" w:rsidRPr="00A61D9C" w:rsidP="00A61D9C">
      <w:pPr>
        <w:pStyle w:val="Heading1"/>
      </w:pPr>
      <w:bookmarkStart w:id="5" w:name="O_1293554"/>
      <w:bookmarkEnd w:id="5"/>
      <w:r w:rsidRPr="00A61D9C">
        <w:t>Links</w:t>
      </w:r>
    </w:p>
    <w:p w:rsidR="00000000" w:rsidRPr="00A61D9C" w:rsidP="00266CC7">
      <w:pPr>
        <w:pStyle w:val="BodyText"/>
      </w:pPr>
      <w:r w:rsidRPr="00A61D9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671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61D9C" w:rsidP="00A61D9C"/>
    <w:sectPr w:rsidSect="00A61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9C" w:rsidRPr="00266CC7" w:rsidP="00266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C7" w:rsidP="00A61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6CC7" w:rsidP="00A61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6CC7" w:rsidP="00A61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D9C" w:rsidRPr="00266CC7" w:rsidP="00266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CC7" w:rsidRPr="002D2AF8" w:rsidP="00A61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CPCCON3041 Place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6CC7" w:rsidP="00A61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A63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BC9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B8E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D9C"/>
  </w:style>
  <w:style w:type="character" w:customStyle="1" w:styleId="Heading1Char">
    <w:name w:val="Heading 1 Char"/>
    <w:basedOn w:val="DefaultParagraphFont"/>
    <w:link w:val="Heading1"/>
    <w:rsid w:val="00A61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D9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1D9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61D9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61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D9C"/>
    <w:rPr>
      <w:b/>
      <w:spacing w:val="0"/>
    </w:rPr>
  </w:style>
  <w:style w:type="paragraph" w:customStyle="1" w:styleId="SuperTitle">
    <w:name w:val="SuperTitle"/>
    <w:basedOn w:val="Title"/>
    <w:rsid w:val="00A61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D9C"/>
    <w:rPr>
      <w:i/>
    </w:rPr>
  </w:style>
  <w:style w:type="paragraph" w:styleId="Caption">
    <w:name w:val="caption"/>
    <w:basedOn w:val="BodyText"/>
    <w:next w:val="Normal"/>
    <w:qFormat/>
    <w:rsid w:val="00A61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D9C"/>
  </w:style>
  <w:style w:type="paragraph" w:styleId="TableofFigures">
    <w:name w:val="table of figures"/>
    <w:basedOn w:val="Normal"/>
    <w:next w:val="Normal"/>
    <w:semiHidden/>
    <w:rsid w:val="00A61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D9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61D9C"/>
    <w:rPr>
      <w:rFonts w:ascii="Wingdings" w:hAnsi="Wingdings"/>
    </w:rPr>
  </w:style>
  <w:style w:type="paragraph" w:customStyle="1" w:styleId="TableHeading">
    <w:name w:val="Table Heading"/>
    <w:basedOn w:val="HeadingBase"/>
    <w:rsid w:val="00A61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D9C"/>
    <w:rPr>
      <w:color w:val="0033CC"/>
      <w:u w:val="none"/>
    </w:rPr>
  </w:style>
  <w:style w:type="paragraph" w:customStyle="1" w:styleId="BodyTextRight">
    <w:name w:val="Body Text Right"/>
    <w:basedOn w:val="BodyText"/>
    <w:rsid w:val="00A61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D9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D9C"/>
    <w:rPr>
      <w:sz w:val="32"/>
    </w:rPr>
  </w:style>
  <w:style w:type="paragraph" w:customStyle="1" w:styleId="HeadingProcedure">
    <w:name w:val="Heading Procedure"/>
    <w:basedOn w:val="HeadingBase"/>
    <w:next w:val="Normal"/>
    <w:rsid w:val="00A61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D9C"/>
    <w:pPr>
      <w:spacing w:before="60" w:after="60"/>
    </w:pPr>
  </w:style>
  <w:style w:type="paragraph" w:styleId="ListContinue">
    <w:name w:val="List Continue"/>
    <w:basedOn w:val="List"/>
    <w:rsid w:val="00A61D9C"/>
    <w:pPr>
      <w:ind w:firstLine="0"/>
    </w:pPr>
  </w:style>
  <w:style w:type="paragraph" w:customStyle="1" w:styleId="ListNote">
    <w:name w:val="List Note"/>
    <w:basedOn w:val="List"/>
    <w:rsid w:val="00A61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D9C"/>
    <w:rPr>
      <w:rFonts w:ascii="Courier New" w:hAnsi="Courier New"/>
    </w:rPr>
  </w:style>
  <w:style w:type="paragraph" w:customStyle="1" w:styleId="NoteBullet">
    <w:name w:val="Note Bullet"/>
    <w:basedOn w:val="Note"/>
    <w:rsid w:val="00A61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D9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1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D9C"/>
    <w:rPr>
      <w:b/>
      <w:smallCaps/>
    </w:rPr>
  </w:style>
  <w:style w:type="paragraph" w:customStyle="1" w:styleId="TableListNumber">
    <w:name w:val="Table List Number"/>
    <w:basedOn w:val="ListNumber"/>
    <w:rsid w:val="00A61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D9C"/>
    <w:pPr>
      <w:numPr>
        <w:numId w:val="10"/>
      </w:numPr>
    </w:pPr>
  </w:style>
  <w:style w:type="paragraph" w:customStyle="1" w:styleId="ListAlpha2">
    <w:name w:val="List Alpha 2"/>
    <w:basedOn w:val="List2"/>
    <w:rsid w:val="00A61D9C"/>
    <w:pPr>
      <w:numPr>
        <w:numId w:val="9"/>
      </w:numPr>
    </w:pPr>
  </w:style>
  <w:style w:type="paragraph" w:styleId="List2">
    <w:name w:val="List 2"/>
    <w:basedOn w:val="BodyText"/>
    <w:rsid w:val="00A61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D9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61D9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61D9C"/>
    <w:pPr>
      <w:numPr>
        <w:numId w:val="5"/>
      </w:numPr>
    </w:pPr>
  </w:style>
  <w:style w:type="paragraph" w:styleId="ListContinue2">
    <w:name w:val="List Continue 2"/>
    <w:basedOn w:val="List2"/>
    <w:rsid w:val="00A61D9C"/>
    <w:pPr>
      <w:ind w:firstLine="0"/>
    </w:pPr>
  </w:style>
  <w:style w:type="paragraph" w:styleId="ListContinue3">
    <w:name w:val="List Continue 3"/>
    <w:basedOn w:val="List3"/>
    <w:rsid w:val="00A61D9C"/>
    <w:pPr>
      <w:ind w:left="1021" w:firstLine="0"/>
    </w:pPr>
  </w:style>
  <w:style w:type="paragraph" w:styleId="ListContinue4">
    <w:name w:val="List Continue 4"/>
    <w:basedOn w:val="List4"/>
    <w:rsid w:val="00A61D9C"/>
    <w:pPr>
      <w:ind w:firstLine="0"/>
    </w:pPr>
  </w:style>
  <w:style w:type="paragraph" w:styleId="ListContinue5">
    <w:name w:val="List Continue 5"/>
    <w:basedOn w:val="List5"/>
    <w:rsid w:val="00A61D9C"/>
    <w:pPr>
      <w:ind w:firstLine="0"/>
    </w:pPr>
  </w:style>
  <w:style w:type="paragraph" w:styleId="ListNumber3">
    <w:name w:val="List Number 3"/>
    <w:basedOn w:val="List3"/>
    <w:rsid w:val="00A61D9C"/>
    <w:pPr>
      <w:numPr>
        <w:numId w:val="6"/>
      </w:numPr>
    </w:pPr>
  </w:style>
  <w:style w:type="paragraph" w:styleId="ListNumber4">
    <w:name w:val="List Number 4"/>
    <w:basedOn w:val="List4"/>
    <w:rsid w:val="00A61D9C"/>
    <w:pPr>
      <w:numPr>
        <w:numId w:val="7"/>
      </w:numPr>
    </w:pPr>
  </w:style>
  <w:style w:type="paragraph" w:styleId="ListNumber5">
    <w:name w:val="List Number 5"/>
    <w:basedOn w:val="List5"/>
    <w:rsid w:val="00A61D9C"/>
    <w:pPr>
      <w:numPr>
        <w:numId w:val="8"/>
      </w:numPr>
    </w:pPr>
  </w:style>
  <w:style w:type="paragraph" w:styleId="BlockText">
    <w:name w:val="Block Text"/>
    <w:basedOn w:val="Normal"/>
    <w:rsid w:val="00A61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D9C"/>
    <w:rPr>
      <w:sz w:val="16"/>
      <w:vertAlign w:val="superscript"/>
    </w:rPr>
  </w:style>
  <w:style w:type="character" w:customStyle="1" w:styleId="Symbols">
    <w:name w:val="Symbols"/>
    <w:basedOn w:val="DefaultParagraphFont"/>
    <w:rsid w:val="00A61D9C"/>
    <w:rPr>
      <w:rFonts w:ascii="Symbol" w:hAnsi="Symbol"/>
    </w:rPr>
  </w:style>
  <w:style w:type="character" w:customStyle="1" w:styleId="MenuOptions">
    <w:name w:val="Menu Options"/>
    <w:basedOn w:val="DefaultParagraphFont"/>
    <w:rsid w:val="00A61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D9C"/>
    <w:rPr>
      <w:b/>
    </w:rPr>
  </w:style>
  <w:style w:type="character" w:customStyle="1" w:styleId="Underlined">
    <w:name w:val="Underlined"/>
    <w:basedOn w:val="DefaultParagraphFont"/>
    <w:rsid w:val="00A61D9C"/>
    <w:rPr>
      <w:u w:val="single"/>
    </w:rPr>
  </w:style>
  <w:style w:type="paragraph" w:customStyle="1" w:styleId="TableBodyTextRight">
    <w:name w:val="Table Body Text Right"/>
    <w:basedOn w:val="TableBodyText"/>
    <w:rsid w:val="00A61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D9C"/>
    <w:rPr>
      <w:sz w:val="18"/>
    </w:rPr>
  </w:style>
  <w:style w:type="paragraph" w:customStyle="1" w:styleId="BodySmallRight">
    <w:name w:val="Body Small Right"/>
    <w:basedOn w:val="BodyTextRight"/>
    <w:rsid w:val="00A61D9C"/>
    <w:rPr>
      <w:sz w:val="18"/>
      <w:szCs w:val="18"/>
    </w:rPr>
  </w:style>
  <w:style w:type="paragraph" w:customStyle="1" w:styleId="MarginEdition">
    <w:name w:val="Margin Edition"/>
    <w:basedOn w:val="MarginNote"/>
    <w:rsid w:val="00A61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D9C"/>
    <w:rPr>
      <w:sz w:val="2"/>
      <w:szCs w:val="2"/>
    </w:rPr>
  </w:style>
  <w:style w:type="character" w:customStyle="1" w:styleId="Small">
    <w:name w:val="Small"/>
    <w:basedOn w:val="DefaultParagraphFont"/>
    <w:rsid w:val="00A61D9C"/>
    <w:rPr>
      <w:sz w:val="16"/>
    </w:rPr>
  </w:style>
  <w:style w:type="paragraph" w:customStyle="1" w:styleId="WideTable">
    <w:name w:val="Wide Table"/>
    <w:basedOn w:val="Normal"/>
    <w:rsid w:val="00A61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D9C"/>
  </w:style>
  <w:style w:type="paragraph" w:styleId="Quote">
    <w:name w:val="Quote"/>
    <w:basedOn w:val="Heading1"/>
    <w:link w:val="QuoteChar"/>
    <w:qFormat/>
    <w:rsid w:val="00A61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D9C"/>
    <w:pPr>
      <w:pageBreakBefore/>
    </w:pPr>
  </w:style>
  <w:style w:type="paragraph" w:customStyle="1" w:styleId="Border">
    <w:name w:val="Border"/>
    <w:basedOn w:val="Normal"/>
    <w:qFormat/>
    <w:rsid w:val="00A61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D9C"/>
    <w:rPr>
      <w:u w:val="single"/>
    </w:rPr>
  </w:style>
  <w:style w:type="character" w:customStyle="1" w:styleId="BoldandItalics">
    <w:name w:val="Bold and Italics"/>
    <w:qFormat/>
    <w:rsid w:val="00A61D9C"/>
    <w:rPr>
      <w:b/>
      <w:i/>
      <w:u w:val="none"/>
    </w:rPr>
  </w:style>
  <w:style w:type="paragraph" w:styleId="BalloonText">
    <w:name w:val="Balloon Text"/>
    <w:basedOn w:val="Normal"/>
    <w:link w:val="BalloonTextChar"/>
    <w:rsid w:val="00A61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D9C"/>
    <w:pPr>
      <w:spacing w:before="0" w:after="0"/>
    </w:pPr>
  </w:style>
  <w:style w:type="paragraph" w:customStyle="1" w:styleId="BodyTextBold">
    <w:name w:val="Body Text Bold"/>
    <w:basedOn w:val="BodyText"/>
    <w:qFormat/>
    <w:rsid w:val="00A61D9C"/>
    <w:rPr>
      <w:b/>
    </w:rPr>
  </w:style>
  <w:style w:type="character" w:styleId="Hyperlink">
    <w:name w:val="Hyperlink"/>
    <w:basedOn w:val="DefaultParagraphFont"/>
    <w:uiPriority w:val="99"/>
    <w:unhideWhenUsed/>
    <w:rsid w:val="00266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3849</Characters>
  <Application>Microsoft Office Word</Application>
  <DocSecurity>0</DocSecurity>
  <Lines>106</Lines>
  <Paragraphs>92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CPCCON3041 Place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