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620" w:rsidP="009D3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CPCCON3035 Determine concrete supply requirements</w:t>
      </w:r>
      <w:r>
        <w:fldChar w:fldCharType="end"/>
      </w:r>
    </w:p>
    <w:p w:rsidR="009D3620" w:rsidP="009D3620">
      <w:pPr>
        <w:pStyle w:val="Version"/>
        <w:sectPr w:rsidSect="00EA1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1ADB" w:rsidP="00EA1ADB">
      <w:pPr>
        <w:pStyle w:val="SuperHeading"/>
      </w:pPr>
      <w:r w:rsidRPr="00EA1ADB">
        <w:t>CPCCON3035 Determine concrete supply requirements</w:t>
      </w:r>
    </w:p>
    <w:p w:rsidR="00000000" w:rsidRPr="00EA1ADB" w:rsidP="00EA1ADB">
      <w:pPr>
        <w:pStyle w:val="Heading1"/>
      </w:pPr>
      <w:bookmarkStart w:id="1" w:name="O_1293584"/>
      <w:bookmarkEnd w:id="1"/>
      <w:r w:rsidRPr="00EA1A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Release 2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Updated reference to general construction induction training program.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ADB" w:rsidP="00EA1ADB">
            <w:pPr>
              <w:pStyle w:val="BodyText"/>
            </w:pPr>
            <w:r w:rsidRPr="00EA1ADB">
              <w:t>This version first released with CPC Construction, Plumbing and Services Training Package Release 5.0.</w:t>
            </w:r>
          </w:p>
          <w:p w:rsidR="00000000" w:rsidRPr="00EA1ADB" w:rsidP="00EA1ADB">
            <w:pPr>
              <w:pStyle w:val="BodyText"/>
            </w:pPr>
            <w:r w:rsidRPr="00EA1ADB">
              <w:t xml:space="preserve">Supersedes and is equivalent to </w:t>
            </w:r>
            <w:r w:rsidRPr="00EA1ADB">
              <w:t>CPCCCO3035 Assess and specify concrete supply requirements.</w:t>
            </w:r>
          </w:p>
        </w:tc>
      </w:tr>
    </w:tbl>
    <w:p w:rsidR="00000000" w:rsidRPr="00EA1ADB" w:rsidP="00EA1ADB">
      <w:pPr>
        <w:pStyle w:val="BodyText"/>
      </w:pPr>
    </w:p>
    <w:p w:rsidR="00000000" w:rsidRPr="00EA1ADB" w:rsidP="00EA1ADB">
      <w:pPr>
        <w:pStyle w:val="AllowPageBreak"/>
      </w:pPr>
    </w:p>
    <w:p w:rsidR="00000000" w:rsidRPr="00EA1ADB" w:rsidP="00EA1ADB">
      <w:pPr>
        <w:pStyle w:val="Heading1"/>
      </w:pPr>
      <w:bookmarkStart w:id="2" w:name="O_1293583"/>
      <w:bookmarkEnd w:id="2"/>
      <w:r w:rsidRPr="00EA1ADB">
        <w:t>Application</w:t>
      </w:r>
    </w:p>
    <w:p w:rsidR="00000000" w:rsidRPr="00EA1ADB" w:rsidP="009D3620">
      <w:pPr>
        <w:pStyle w:val="BodyText"/>
      </w:pPr>
      <w:r w:rsidRPr="00EA1ADB">
        <w:t>This unit of competency specifies the skills and knowledge required to determine concrete supply requirements for different areas and features of planned concretin</w:t>
      </w:r>
      <w:r w:rsidRPr="00EA1ADB">
        <w:t>g work. It includes identifying required concrete properties, volumes and costs from site and project documentation, and scheduling delivery.</w:t>
      </w:r>
    </w:p>
    <w:p w:rsidR="00000000" w:rsidRPr="00EA1ADB" w:rsidP="009D3620">
      <w:pPr>
        <w:pStyle w:val="BodyText"/>
      </w:pPr>
      <w:r w:rsidRPr="00EA1ADB">
        <w:t>A person who has achieved this unit of competency would be expected to take responsibility for organising and comp</w:t>
      </w:r>
      <w:r w:rsidRPr="00EA1ADB">
        <w:t>leting these tasks with a high degree of self-direction.</w:t>
      </w:r>
    </w:p>
    <w:p w:rsidR="00000000" w:rsidRPr="00EA1ADB" w:rsidP="009D3620">
      <w:pPr>
        <w:pStyle w:val="BodyText"/>
      </w:pPr>
      <w:r w:rsidRPr="00EA1ADB">
        <w:t>Licensing, legislative, regulatory or certification requirements apply to this unit of competency in some states and territories. For further information, check with the relevant regulatory authority</w:t>
      </w:r>
      <w:r w:rsidRPr="00EA1ADB">
        <w:t>.</w:t>
      </w:r>
    </w:p>
    <w:p w:rsidR="00000000" w:rsidRPr="00EA1ADB" w:rsidP="009D3620">
      <w:pPr>
        <w:pStyle w:val="BodyText"/>
      </w:pPr>
      <w:r w:rsidRPr="00EA1ADB">
        <w:t>Completion of the general construction induction training program, specified in the Safe Work Australia model </w:t>
      </w:r>
      <w:r w:rsidRPr="00EA1ADB">
        <w:rPr>
          <w:rStyle w:val="Emphasis"/>
        </w:rPr>
        <w:t>Code of Practice: Construction Work</w:t>
      </w:r>
      <w:r w:rsidRPr="00EA1ADB">
        <w:t xml:space="preserve">, is required by anyone carrying out construction work. Achievement of </w:t>
      </w:r>
      <w:r w:rsidRPr="00EA1ADB">
        <w:rPr>
          <w:rStyle w:val="Emphasis"/>
        </w:rPr>
        <w:t>CPCWHS1001</w:t>
      </w:r>
      <w:r w:rsidRPr="00EA1ADB">
        <w:t> </w:t>
      </w:r>
      <w:r w:rsidRPr="00EA1ADB">
        <w:rPr>
          <w:rStyle w:val="Emphasis"/>
        </w:rPr>
        <w:t>Prepare to work safely in t</w:t>
      </w:r>
      <w:r w:rsidRPr="00EA1ADB">
        <w:rPr>
          <w:rStyle w:val="Emphasis"/>
        </w:rPr>
        <w:t>he construction industry</w:t>
      </w:r>
      <w:r w:rsidRPr="00EA1ADB">
        <w:t> meets this requirement.</w:t>
      </w:r>
    </w:p>
    <w:p w:rsidR="00000000" w:rsidRPr="00EA1ADB" w:rsidP="00EA1ADB">
      <w:pPr>
        <w:pStyle w:val="Heading1"/>
      </w:pPr>
      <w:bookmarkStart w:id="3" w:name="O_1293582"/>
      <w:bookmarkEnd w:id="3"/>
      <w:r w:rsidRPr="00EA1ADB">
        <w:t>Pre-requisite Unit</w:t>
      </w:r>
    </w:p>
    <w:p w:rsidR="00000000" w:rsidRPr="00EA1ADB" w:rsidP="009D3620">
      <w:pPr>
        <w:pStyle w:val="BodyText"/>
      </w:pPr>
      <w:r w:rsidRPr="00EA1ADB">
        <w:t>CPCCWHS2001 Apply WHS requirements, policies and procedures in the construction industry</w:t>
      </w:r>
    </w:p>
    <w:p w:rsidR="00000000" w:rsidRPr="00EA1ADB" w:rsidP="00EA1ADB">
      <w:pPr>
        <w:pStyle w:val="Heading1"/>
      </w:pPr>
      <w:bookmarkStart w:id="4" w:name="O_1293581"/>
      <w:bookmarkEnd w:id="4"/>
      <w:r w:rsidRPr="00EA1ADB">
        <w:t>Unit Sector</w:t>
      </w:r>
    </w:p>
    <w:p w:rsidR="00000000" w:rsidRPr="00EA1ADB" w:rsidP="009D3620">
      <w:pPr>
        <w:pStyle w:val="BodyText"/>
      </w:pPr>
      <w:r w:rsidRPr="00EA1ADB">
        <w:t>Concreting</w:t>
      </w:r>
    </w:p>
    <w:p w:rsidR="00000000" w:rsidRPr="00EA1ADB" w:rsidP="00EA1ADB">
      <w:pPr>
        <w:pStyle w:val="Heading1"/>
      </w:pPr>
      <w:bookmarkStart w:id="5" w:name="O_1293580"/>
      <w:bookmarkEnd w:id="5"/>
      <w:r w:rsidRPr="00EA1A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Performance criteria describe what needs to be done to demonstrate achievement of the element.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Assess site to identify concrete supply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Review site informatio</w:t>
            </w:r>
            <w:r w:rsidRPr="00EA1ADB">
              <w:t>n to determine general size and nature of planned concreting work.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Read project documentation to identify required concrete materials for each concreting area and feature.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Identify delivery method for concrete supply at different locations and heights and implications for required concrete material properties.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Identify and itemise required concrete properties.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Identify strength grade designation of concrete supply for different areas or features of concrete work from project documentation and consultation with relevant persons.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Identify variable components of, and additives to concrete mix for different a</w:t>
            </w:r>
            <w:r w:rsidRPr="00EA1ADB">
              <w:t>reas or features of concrete work from project documentation and consultation with relevant persons.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Identify concrete specifications to be met at on-site delivery from project documentation and consultation with relevant personnel.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Itemise concrete supply requirements for each area and feature in accordance with specifications for concreting work, relevant Australian Standards and workplace requirements.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Calculate and document concrete volumes and supply costs.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Identify dimensions of each area and feature of concreting work from site drawings and specifications.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Calculate and document required concrete volumes for each area and feature in accordance with specifications for concreting work and workplace req</w:t>
            </w:r>
            <w:r w:rsidRPr="00EA1ADB">
              <w:t>uirements.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Calculate and document total volumes of concrete supply for areas and features requiring identical properties.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Estimate and document total cost of concrete supply in accordance with workplace requirements.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Schedule concrete delivery.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Identify concrete delivery locations and site access and egress details in consultation with relevant persons.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Review project timelines and sequencing of work and calculate and document concrete delivery sche</w:t>
            </w:r>
            <w:r w:rsidRPr="00EA1ADB">
              <w:t>dule to ensure continuous and timely supply.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Prepare supplier specifications for volumes of different concrete mixes.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Confirm delivery schedule with relevant persons, document and finalise for inclusion with concrete specifications.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Finalise specifications for concrete supply.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Check specifications for concrete supply to confirm accuracy of concrete mix details for different areas or features.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Check individual area, feature dimensions and concrete supply volume calculations to confirm accuracy.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Check total volumes of concrete supply for areas and features requiring identical properties and confirm accuracy.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Consult with relevant pe</w:t>
            </w:r>
            <w:r w:rsidRPr="00EA1ADB">
              <w:t>rsons to obtain feedback on specifications and make required adjustments in accordance with workplace requirements.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Complete supplier specifications in accordance with workplace requirements.</w:t>
            </w:r>
          </w:p>
        </w:tc>
      </w:tr>
      <w:tr w:rsidTr="00EA1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ADB">
            <w:pPr>
              <w:pStyle w:val="BodyText"/>
              <w:rPr>
                <w:lang w:val="en-NZ"/>
              </w:rPr>
            </w:pPr>
            <w:r w:rsidRPr="00EA1ADB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ADB" w:rsidP="00EA1ADB">
            <w:pPr>
              <w:pStyle w:val="BodyText"/>
            </w:pPr>
            <w:r w:rsidRPr="00EA1ADB">
              <w:t>Place concrete order with supplier including precise detail of delivery schedule and confirm order acceptance in accordance with workplace requirements.</w:t>
            </w:r>
          </w:p>
        </w:tc>
      </w:tr>
    </w:tbl>
    <w:p w:rsidR="00000000" w:rsidRPr="00EA1ADB" w:rsidP="00EA1ADB">
      <w:pPr>
        <w:pStyle w:val="BodyText"/>
      </w:pPr>
    </w:p>
    <w:p w:rsidR="00000000" w:rsidRPr="00EA1ADB" w:rsidP="00EA1ADB">
      <w:pPr>
        <w:pStyle w:val="AllowPageBreak"/>
      </w:pPr>
    </w:p>
    <w:p w:rsidR="00000000" w:rsidRPr="00EA1ADB" w:rsidP="00EA1ADB">
      <w:pPr>
        <w:pStyle w:val="Heading1"/>
      </w:pPr>
      <w:bookmarkStart w:id="6" w:name="O_1293579"/>
      <w:bookmarkEnd w:id="6"/>
      <w:r w:rsidRPr="00EA1ADB">
        <w:t>Foundation Skills</w:t>
      </w:r>
    </w:p>
    <w:p w:rsidR="00000000" w:rsidRPr="00EA1ADB" w:rsidP="009D3620">
      <w:pPr>
        <w:pStyle w:val="BodyText"/>
      </w:pPr>
      <w:r w:rsidRPr="00EA1ADB">
        <w:t>Foundation skills essential to performance are explicit in the p</w:t>
      </w:r>
      <w:r w:rsidRPr="00EA1ADB">
        <w:t xml:space="preserve">erformance criteria of this unit of competency. </w:t>
      </w:r>
    </w:p>
    <w:p w:rsidR="00000000" w:rsidRPr="00EA1ADB" w:rsidP="00EA1ADB">
      <w:pPr>
        <w:pStyle w:val="Heading1"/>
      </w:pPr>
      <w:bookmarkStart w:id="7" w:name="O_1293578"/>
      <w:bookmarkEnd w:id="7"/>
      <w:r w:rsidRPr="00EA1ADB">
        <w:t>Unit Mapping Information</w:t>
      </w:r>
    </w:p>
    <w:p w:rsidR="00000000" w:rsidRPr="00EA1ADB" w:rsidP="009D3620">
      <w:pPr>
        <w:pStyle w:val="BodyText"/>
      </w:pPr>
      <w:r w:rsidRPr="00EA1ADB">
        <w:t>Supersedes and is equivalent to CPCCCO3035 Assess and specify concrete supply requirements.</w:t>
      </w:r>
    </w:p>
    <w:p w:rsidR="00000000" w:rsidRPr="00EA1ADB" w:rsidP="00EA1ADB">
      <w:pPr>
        <w:pStyle w:val="Heading1"/>
      </w:pPr>
      <w:bookmarkStart w:id="8" w:name="O_1293585"/>
      <w:bookmarkEnd w:id="8"/>
      <w:r w:rsidRPr="00EA1ADB">
        <w:t>Links</w:t>
      </w:r>
    </w:p>
    <w:p w:rsidR="00000000" w:rsidRPr="00EA1ADB" w:rsidP="009D3620">
      <w:pPr>
        <w:pStyle w:val="BodyText"/>
      </w:pPr>
      <w:r w:rsidRPr="00EA1AD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E61C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A1ADB" w:rsidP="00EA1ADB"/>
    <w:sectPr w:rsidSect="00EA1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DB" w:rsidRPr="009D3620" w:rsidP="009D3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20" w:rsidP="00EA1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620" w:rsidP="00EA1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D3620" w:rsidP="00EA1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ADB" w:rsidRPr="009D3620" w:rsidP="009D3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20" w:rsidRPr="002D2AF8" w:rsidP="00EA1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CPCCON3035 Determine concrete supply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D3620" w:rsidP="00EA1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ADB"/>
  </w:style>
  <w:style w:type="character" w:customStyle="1" w:styleId="Heading1Char">
    <w:name w:val="Heading 1 Char"/>
    <w:basedOn w:val="DefaultParagraphFont"/>
    <w:link w:val="Heading1"/>
    <w:rsid w:val="00EA1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ADB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A1ADB"/>
    <w:rPr>
      <w:i/>
    </w:rPr>
  </w:style>
  <w:style w:type="paragraph" w:customStyle="1" w:styleId="SuperHeading">
    <w:name w:val="SuperHeading"/>
    <w:basedOn w:val="Normal"/>
    <w:rsid w:val="00EA1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A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1A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1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1ADB"/>
    <w:rPr>
      <w:b/>
      <w:spacing w:val="0"/>
    </w:rPr>
  </w:style>
  <w:style w:type="paragraph" w:customStyle="1" w:styleId="SuperTitle">
    <w:name w:val="SuperTitle"/>
    <w:basedOn w:val="Title"/>
    <w:rsid w:val="00EA1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A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A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ADB"/>
  </w:style>
  <w:style w:type="paragraph" w:styleId="TableofFigures">
    <w:name w:val="table of figures"/>
    <w:basedOn w:val="Normal"/>
    <w:next w:val="Normal"/>
    <w:semiHidden/>
    <w:rsid w:val="00EA1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A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1ADB"/>
    <w:rPr>
      <w:rFonts w:ascii="Wingdings" w:hAnsi="Wingdings"/>
    </w:rPr>
  </w:style>
  <w:style w:type="paragraph" w:customStyle="1" w:styleId="TableHeading">
    <w:name w:val="Table Heading"/>
    <w:basedOn w:val="HeadingBase"/>
    <w:rsid w:val="00EA1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ADB"/>
    <w:rPr>
      <w:color w:val="0033CC"/>
      <w:u w:val="none"/>
    </w:rPr>
  </w:style>
  <w:style w:type="paragraph" w:customStyle="1" w:styleId="BodyTextRight">
    <w:name w:val="Body Text Right"/>
    <w:basedOn w:val="BodyText"/>
    <w:rsid w:val="00EA1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A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ADB"/>
    <w:rPr>
      <w:sz w:val="32"/>
    </w:rPr>
  </w:style>
  <w:style w:type="paragraph" w:customStyle="1" w:styleId="HeadingProcedure">
    <w:name w:val="Heading Procedure"/>
    <w:basedOn w:val="HeadingBase"/>
    <w:next w:val="Normal"/>
    <w:rsid w:val="00EA1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ADB"/>
    <w:pPr>
      <w:spacing w:before="60" w:after="60"/>
    </w:pPr>
  </w:style>
  <w:style w:type="paragraph" w:styleId="ListContinue">
    <w:name w:val="List Continue"/>
    <w:basedOn w:val="List"/>
    <w:rsid w:val="00EA1ADB"/>
    <w:pPr>
      <w:ind w:firstLine="0"/>
    </w:pPr>
  </w:style>
  <w:style w:type="paragraph" w:customStyle="1" w:styleId="ListNote">
    <w:name w:val="List Note"/>
    <w:basedOn w:val="List"/>
    <w:rsid w:val="00EA1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ADB"/>
    <w:rPr>
      <w:rFonts w:ascii="Courier New" w:hAnsi="Courier New"/>
    </w:rPr>
  </w:style>
  <w:style w:type="paragraph" w:customStyle="1" w:styleId="NoteBullet">
    <w:name w:val="Note Bullet"/>
    <w:basedOn w:val="Note"/>
    <w:rsid w:val="00EA1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A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1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ADB"/>
    <w:rPr>
      <w:b/>
      <w:smallCaps/>
    </w:rPr>
  </w:style>
  <w:style w:type="paragraph" w:customStyle="1" w:styleId="TableListNumber">
    <w:name w:val="Table List Number"/>
    <w:basedOn w:val="ListNumber"/>
    <w:rsid w:val="00EA1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ADB"/>
    <w:pPr>
      <w:numPr>
        <w:numId w:val="7"/>
      </w:numPr>
    </w:pPr>
  </w:style>
  <w:style w:type="paragraph" w:customStyle="1" w:styleId="ListAlpha2">
    <w:name w:val="List Alpha 2"/>
    <w:basedOn w:val="List2"/>
    <w:rsid w:val="00EA1ADB"/>
    <w:pPr>
      <w:numPr>
        <w:numId w:val="6"/>
      </w:numPr>
    </w:pPr>
  </w:style>
  <w:style w:type="paragraph" w:styleId="List2">
    <w:name w:val="List 2"/>
    <w:basedOn w:val="BodyText"/>
    <w:rsid w:val="00EA1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A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A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1ADB"/>
    <w:pPr>
      <w:numPr>
        <w:numId w:val="2"/>
      </w:numPr>
    </w:pPr>
  </w:style>
  <w:style w:type="paragraph" w:styleId="ListContinue2">
    <w:name w:val="List Continue 2"/>
    <w:basedOn w:val="List2"/>
    <w:rsid w:val="00EA1ADB"/>
    <w:pPr>
      <w:ind w:firstLine="0"/>
    </w:pPr>
  </w:style>
  <w:style w:type="paragraph" w:styleId="ListContinue3">
    <w:name w:val="List Continue 3"/>
    <w:basedOn w:val="List3"/>
    <w:rsid w:val="00EA1ADB"/>
    <w:pPr>
      <w:ind w:left="1021" w:firstLine="0"/>
    </w:pPr>
  </w:style>
  <w:style w:type="paragraph" w:styleId="ListContinue4">
    <w:name w:val="List Continue 4"/>
    <w:basedOn w:val="List4"/>
    <w:rsid w:val="00EA1ADB"/>
    <w:pPr>
      <w:ind w:firstLine="0"/>
    </w:pPr>
  </w:style>
  <w:style w:type="paragraph" w:styleId="ListContinue5">
    <w:name w:val="List Continue 5"/>
    <w:basedOn w:val="List5"/>
    <w:rsid w:val="00EA1ADB"/>
    <w:pPr>
      <w:ind w:firstLine="0"/>
    </w:pPr>
  </w:style>
  <w:style w:type="paragraph" w:styleId="ListNumber3">
    <w:name w:val="List Number 3"/>
    <w:basedOn w:val="List3"/>
    <w:rsid w:val="00EA1ADB"/>
    <w:pPr>
      <w:numPr>
        <w:numId w:val="3"/>
      </w:numPr>
    </w:pPr>
  </w:style>
  <w:style w:type="paragraph" w:styleId="ListNumber4">
    <w:name w:val="List Number 4"/>
    <w:basedOn w:val="List4"/>
    <w:rsid w:val="00EA1ADB"/>
    <w:pPr>
      <w:numPr>
        <w:numId w:val="4"/>
      </w:numPr>
    </w:pPr>
  </w:style>
  <w:style w:type="paragraph" w:styleId="ListNumber5">
    <w:name w:val="List Number 5"/>
    <w:basedOn w:val="List5"/>
    <w:rsid w:val="00EA1ADB"/>
    <w:pPr>
      <w:numPr>
        <w:numId w:val="5"/>
      </w:numPr>
    </w:pPr>
  </w:style>
  <w:style w:type="paragraph" w:styleId="BlockText">
    <w:name w:val="Block Text"/>
    <w:basedOn w:val="Normal"/>
    <w:rsid w:val="00EA1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ADB"/>
    <w:rPr>
      <w:sz w:val="16"/>
      <w:vertAlign w:val="superscript"/>
    </w:rPr>
  </w:style>
  <w:style w:type="character" w:customStyle="1" w:styleId="Symbols">
    <w:name w:val="Symbols"/>
    <w:basedOn w:val="DefaultParagraphFont"/>
    <w:rsid w:val="00EA1ADB"/>
    <w:rPr>
      <w:rFonts w:ascii="Symbol" w:hAnsi="Symbol"/>
    </w:rPr>
  </w:style>
  <w:style w:type="character" w:customStyle="1" w:styleId="MenuOptions">
    <w:name w:val="Menu Options"/>
    <w:basedOn w:val="DefaultParagraphFont"/>
    <w:rsid w:val="00EA1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ADB"/>
    <w:rPr>
      <w:b/>
    </w:rPr>
  </w:style>
  <w:style w:type="character" w:customStyle="1" w:styleId="Underlined">
    <w:name w:val="Underlined"/>
    <w:basedOn w:val="DefaultParagraphFont"/>
    <w:rsid w:val="00EA1ADB"/>
    <w:rPr>
      <w:u w:val="single"/>
    </w:rPr>
  </w:style>
  <w:style w:type="paragraph" w:customStyle="1" w:styleId="TableBodyTextRight">
    <w:name w:val="Table Body Text Right"/>
    <w:basedOn w:val="TableBodyText"/>
    <w:rsid w:val="00EA1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ADB"/>
    <w:rPr>
      <w:sz w:val="18"/>
    </w:rPr>
  </w:style>
  <w:style w:type="paragraph" w:customStyle="1" w:styleId="BodySmallRight">
    <w:name w:val="Body Small Right"/>
    <w:basedOn w:val="BodyTextRight"/>
    <w:rsid w:val="00EA1ADB"/>
    <w:rPr>
      <w:sz w:val="18"/>
      <w:szCs w:val="18"/>
    </w:rPr>
  </w:style>
  <w:style w:type="paragraph" w:customStyle="1" w:styleId="MarginEdition">
    <w:name w:val="Margin Edition"/>
    <w:basedOn w:val="MarginNote"/>
    <w:rsid w:val="00EA1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ADB"/>
    <w:rPr>
      <w:sz w:val="2"/>
      <w:szCs w:val="2"/>
    </w:rPr>
  </w:style>
  <w:style w:type="character" w:customStyle="1" w:styleId="Small">
    <w:name w:val="Small"/>
    <w:basedOn w:val="DefaultParagraphFont"/>
    <w:rsid w:val="00EA1ADB"/>
    <w:rPr>
      <w:sz w:val="16"/>
    </w:rPr>
  </w:style>
  <w:style w:type="paragraph" w:customStyle="1" w:styleId="WideTable">
    <w:name w:val="Wide Table"/>
    <w:basedOn w:val="Normal"/>
    <w:rsid w:val="00EA1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ADB"/>
  </w:style>
  <w:style w:type="paragraph" w:styleId="Quote">
    <w:name w:val="Quote"/>
    <w:basedOn w:val="Heading1"/>
    <w:link w:val="QuoteChar"/>
    <w:qFormat/>
    <w:rsid w:val="00EA1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ADB"/>
    <w:pPr>
      <w:pageBreakBefore/>
    </w:pPr>
  </w:style>
  <w:style w:type="paragraph" w:customStyle="1" w:styleId="Border">
    <w:name w:val="Border"/>
    <w:basedOn w:val="Normal"/>
    <w:qFormat/>
    <w:rsid w:val="00EA1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ADB"/>
    <w:rPr>
      <w:u w:val="single"/>
    </w:rPr>
  </w:style>
  <w:style w:type="character" w:customStyle="1" w:styleId="BoldandItalics">
    <w:name w:val="Bold and Italics"/>
    <w:qFormat/>
    <w:rsid w:val="00EA1ADB"/>
    <w:rPr>
      <w:b/>
      <w:i/>
      <w:u w:val="none"/>
    </w:rPr>
  </w:style>
  <w:style w:type="paragraph" w:styleId="BalloonText">
    <w:name w:val="Balloon Text"/>
    <w:basedOn w:val="Normal"/>
    <w:link w:val="BalloonTextChar"/>
    <w:rsid w:val="00EA1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ADB"/>
    <w:pPr>
      <w:spacing w:before="0" w:after="0"/>
    </w:pPr>
  </w:style>
  <w:style w:type="paragraph" w:customStyle="1" w:styleId="BodyTextBold">
    <w:name w:val="Body Text Bold"/>
    <w:basedOn w:val="BodyText"/>
    <w:qFormat/>
    <w:rsid w:val="00EA1ADB"/>
    <w:rPr>
      <w:b/>
    </w:rPr>
  </w:style>
  <w:style w:type="character" w:styleId="Hyperlink">
    <w:name w:val="Hyperlink"/>
    <w:basedOn w:val="DefaultParagraphFont"/>
    <w:uiPriority w:val="99"/>
    <w:unhideWhenUsed/>
    <w:rsid w:val="009D3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4595</Characters>
  <Application>Microsoft Office Word</Application>
  <DocSecurity>0</DocSecurity>
  <Lines>199</Lines>
  <Paragraphs>94</Paragraphs>
  <ScaleCrop>false</ScaleCrop>
  <Company>Author-it Software Corporation Ltd.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CPCCON3035 Determine concrete supply requirements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