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C0A" w:rsidP="00E63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CPCCON3035 Determine concrete supply requirements</w:t>
      </w:r>
      <w:r>
        <w:fldChar w:fldCharType="end"/>
      </w:r>
    </w:p>
    <w:p w:rsidR="00E63C0A" w:rsidP="00E63C0A">
      <w:pPr>
        <w:pStyle w:val="Version"/>
        <w:sectPr w:rsidSect="002C0A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0A04" w:rsidP="002C0A04">
      <w:pPr>
        <w:pStyle w:val="SuperHeading"/>
      </w:pPr>
      <w:r w:rsidRPr="002C0A04">
        <w:t>CPCCON3035 Determine concrete supply requirements</w:t>
      </w:r>
    </w:p>
    <w:p w:rsidR="00000000" w:rsidRPr="002C0A04" w:rsidP="002C0A04">
      <w:pPr>
        <w:pStyle w:val="Heading1"/>
      </w:pPr>
      <w:bookmarkStart w:id="1" w:name="O_1293584"/>
      <w:bookmarkEnd w:id="1"/>
      <w:r w:rsidRPr="002C0A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366"/>
      </w:tblGrid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Release 2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Updated reference to general construction induction training program.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04" w:rsidP="002C0A04">
            <w:pPr>
              <w:pStyle w:val="BodyText"/>
            </w:pPr>
            <w:r w:rsidRPr="002C0A04">
              <w:t>This version first released with CPC Construction, Plumbing and Services Training Package Release 5.0.</w:t>
            </w:r>
          </w:p>
          <w:p w:rsidR="00000000" w:rsidRPr="002C0A04" w:rsidP="002C0A04">
            <w:pPr>
              <w:pStyle w:val="BodyText"/>
            </w:pPr>
            <w:r w:rsidRPr="002C0A04">
              <w:t xml:space="preserve">Supersedes and is equivalent to </w:t>
            </w:r>
            <w:r w:rsidRPr="002C0A04">
              <w:t>CPCCCO3035 Assess and specify concrete supply requirements.</w:t>
            </w:r>
          </w:p>
        </w:tc>
      </w:tr>
    </w:tbl>
    <w:p w:rsidR="00000000" w:rsidRPr="002C0A04" w:rsidP="002C0A04">
      <w:pPr>
        <w:pStyle w:val="BodyText"/>
      </w:pPr>
    </w:p>
    <w:p w:rsidR="00000000" w:rsidRPr="002C0A04" w:rsidP="002C0A04">
      <w:pPr>
        <w:pStyle w:val="AllowPageBreak"/>
      </w:pPr>
    </w:p>
    <w:p w:rsidR="00000000" w:rsidRPr="002C0A04" w:rsidP="002C0A04">
      <w:pPr>
        <w:pStyle w:val="Heading1"/>
      </w:pPr>
      <w:bookmarkStart w:id="2" w:name="O_1293583"/>
      <w:bookmarkEnd w:id="2"/>
      <w:r w:rsidRPr="002C0A04">
        <w:t>Application</w:t>
      </w:r>
    </w:p>
    <w:p w:rsidR="00000000" w:rsidRPr="002C0A04" w:rsidP="00E63C0A">
      <w:pPr>
        <w:pStyle w:val="BodyText"/>
      </w:pPr>
      <w:r w:rsidRPr="002C0A04">
        <w:t>This unit of competency specifies the skills and knowledge required to determine concrete supply requirements for different areas and features of planned concretin</w:t>
      </w:r>
      <w:r w:rsidRPr="002C0A04">
        <w:t>g work. It includes identifying required concrete properties, volumes and costs from site and project documentation, and scheduling delivery.</w:t>
      </w:r>
    </w:p>
    <w:p w:rsidR="00000000" w:rsidRPr="002C0A04" w:rsidP="00E63C0A">
      <w:pPr>
        <w:pStyle w:val="BodyText"/>
      </w:pPr>
      <w:r w:rsidRPr="002C0A04">
        <w:t>A person who has achieved this unit of competency would be expected to take responsibility for organising and comp</w:t>
      </w:r>
      <w:r w:rsidRPr="002C0A04">
        <w:t>leting these tasks with a high degree of self-direction.</w:t>
      </w:r>
    </w:p>
    <w:p w:rsidR="00000000" w:rsidRPr="002C0A04" w:rsidP="00E63C0A">
      <w:pPr>
        <w:pStyle w:val="BodyText"/>
      </w:pPr>
      <w:r w:rsidRPr="002C0A04">
        <w:t>Licensing, legislative, regulatory or certification requirements apply to this unit of competency in some states and territories. For further information, check with the relevant regulatory authority</w:t>
      </w:r>
      <w:r w:rsidRPr="002C0A04">
        <w:t>.</w:t>
      </w:r>
    </w:p>
    <w:p w:rsidR="00000000" w:rsidRPr="002C0A04" w:rsidP="00E63C0A">
      <w:pPr>
        <w:pStyle w:val="BodyText"/>
      </w:pPr>
      <w:r w:rsidRPr="002C0A04">
        <w:t>Completion of the general construction induction training program, specified in the Safe Work Australia model </w:t>
      </w:r>
      <w:r w:rsidRPr="002C0A04">
        <w:rPr>
          <w:rStyle w:val="Emphasis"/>
        </w:rPr>
        <w:t>Code of Practice: Construction Work</w:t>
      </w:r>
      <w:r w:rsidRPr="002C0A04">
        <w:t xml:space="preserve">, is required by anyone carrying out construction work. Achievement of </w:t>
      </w:r>
      <w:r w:rsidRPr="002C0A04">
        <w:rPr>
          <w:rStyle w:val="Emphasis"/>
        </w:rPr>
        <w:t>CPCWHS1001</w:t>
      </w:r>
      <w:r w:rsidRPr="002C0A04">
        <w:t> </w:t>
      </w:r>
      <w:r w:rsidRPr="002C0A04">
        <w:rPr>
          <w:rStyle w:val="Emphasis"/>
        </w:rPr>
        <w:t>Prepare to work safely in t</w:t>
      </w:r>
      <w:r w:rsidRPr="002C0A04">
        <w:rPr>
          <w:rStyle w:val="Emphasis"/>
        </w:rPr>
        <w:t>he construction industry</w:t>
      </w:r>
      <w:r w:rsidRPr="002C0A04">
        <w:t> meets this requirement.</w:t>
      </w:r>
    </w:p>
    <w:p w:rsidR="00000000" w:rsidRPr="002C0A04" w:rsidP="002C0A04">
      <w:pPr>
        <w:pStyle w:val="Heading1"/>
      </w:pPr>
      <w:bookmarkStart w:id="3" w:name="O_1293582"/>
      <w:bookmarkEnd w:id="3"/>
      <w:r w:rsidRPr="002C0A04">
        <w:t>Pre-requisite Unit</w:t>
      </w:r>
    </w:p>
    <w:p w:rsidR="00000000" w:rsidRPr="002C0A04" w:rsidP="00E63C0A">
      <w:pPr>
        <w:pStyle w:val="BodyText"/>
      </w:pPr>
      <w:r w:rsidRPr="002C0A04">
        <w:t>CPCCWHS2001 Apply WHS requirements, policies and procedures in the construction industry</w:t>
      </w:r>
    </w:p>
    <w:p w:rsidR="00000000" w:rsidRPr="002C0A04" w:rsidP="002C0A04">
      <w:pPr>
        <w:pStyle w:val="Heading1"/>
      </w:pPr>
      <w:bookmarkStart w:id="4" w:name="O_1293581"/>
      <w:bookmarkEnd w:id="4"/>
      <w:r w:rsidRPr="002C0A04">
        <w:t>Unit Sector</w:t>
      </w:r>
    </w:p>
    <w:p w:rsidR="00000000" w:rsidRPr="002C0A04" w:rsidP="00E63C0A">
      <w:pPr>
        <w:pStyle w:val="BodyText"/>
      </w:pPr>
      <w:r w:rsidRPr="002C0A04">
        <w:t>Concreting</w:t>
      </w:r>
    </w:p>
    <w:p w:rsidR="00000000" w:rsidRPr="002C0A04" w:rsidP="002C0A04">
      <w:pPr>
        <w:pStyle w:val="Heading1"/>
      </w:pPr>
      <w:bookmarkStart w:id="5" w:name="O_1293580"/>
      <w:bookmarkEnd w:id="5"/>
      <w:r w:rsidRPr="002C0A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Performance criteria describe what needs to be done to demonstrate achievement of the element.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Assess site to identify concrete supply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Review site informatio</w:t>
            </w:r>
            <w:r w:rsidRPr="002C0A04">
              <w:t>n to determine general size and nature of planned concreting work.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Read project documentation to identify required concrete materials for each concreting area and feature.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Identify delivery method for concrete supply at different locations and heights and implications for required concrete material properties.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Identify and itemise required concrete properties.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Identify strength grade designation of concrete supply for different areas or features of concrete work from project documentation and consultation with relevant persons.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Identify variable components of, and additives to concrete mix for different a</w:t>
            </w:r>
            <w:r w:rsidRPr="002C0A04">
              <w:t>reas or features of concrete work from project documentation and consultation with relevant persons.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Identify concrete specifications to be met at on-site delivery from project documentation and consultation with relevant personnel.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Itemise concrete supply requirements for each area and feature in accordance with specifications for concreting work, relevant Australian Standards and workplace requirements.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Calculate and document concrete volumes and supply costs.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Identify dimensions of each area and feature of concreting work from site drawings and specifications.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Calculate and document required concrete volumes for each area and feature in accordance with specifications for concreting work and workplace req</w:t>
            </w:r>
            <w:r w:rsidRPr="002C0A04">
              <w:t>uirements.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Calculate and document total volumes of concrete supply for areas and features requiring identical properties.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Estimate and document total cost of concrete supply in accordance with workplace requirements.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Schedule concrete delivery.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Identify concrete delivery locations and site access and egress details in consultation with relevant persons.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Review project timelines and sequencing of work and calculate and document concrete delivery schedule to ensure continuous and timely supply.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Prepare supplier specifications for volumes of different concrete mixes.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Confirm delivery schedule w</w:t>
            </w:r>
            <w:r w:rsidRPr="002C0A04">
              <w:t>ith relevant persons, document and finalise for inclusion with concrete specifications.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Finalise specifications for concrete supply.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Check specifications for concrete supply to confirm accuracy of concrete mix details for different areas or features.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Check individual area, feature dimensions and concrete supply volume calculations to confirm accuracy.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Check total volumes of concrete supply for areas and features requiring identical properties and confirm accuracy.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Consult with relevant persons to obtain feedback on specifications and make required adjustments in accordance with workplace requirem</w:t>
            </w:r>
            <w:r w:rsidRPr="002C0A04">
              <w:t>ents.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Complete supplier specifications in accordance with workplace requirements.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04" w:rsidP="002C0A04">
            <w:pPr>
              <w:pStyle w:val="BodyText"/>
            </w:pPr>
            <w:r w:rsidRPr="002C0A04">
              <w:t>Place concrete order with supplier including precise detail of delivery schedule and confirm order acceptance in accordance with workplace requirements.</w:t>
            </w:r>
          </w:p>
        </w:tc>
      </w:tr>
    </w:tbl>
    <w:p w:rsidR="00000000" w:rsidRPr="002C0A04" w:rsidP="002C0A04">
      <w:pPr>
        <w:pStyle w:val="BodyText"/>
      </w:pPr>
    </w:p>
    <w:p w:rsidR="00000000" w:rsidRPr="002C0A04" w:rsidP="002C0A04">
      <w:pPr>
        <w:pStyle w:val="AllowPageBreak"/>
      </w:pPr>
    </w:p>
    <w:p w:rsidR="00000000" w:rsidRPr="002C0A04" w:rsidP="002C0A04">
      <w:pPr>
        <w:pStyle w:val="Heading1"/>
      </w:pPr>
      <w:bookmarkStart w:id="6" w:name="O_1293579"/>
      <w:bookmarkEnd w:id="6"/>
      <w:r w:rsidRPr="002C0A04">
        <w:t>Foundation Skills</w:t>
      </w:r>
    </w:p>
    <w:p w:rsidR="00000000" w:rsidRPr="002C0A04" w:rsidP="00E63C0A">
      <w:pPr>
        <w:pStyle w:val="BodyText"/>
      </w:pPr>
      <w:r w:rsidRPr="002C0A04">
        <w:t xml:space="preserve">Foundation skills essential to performance are explicit in the performance criteria of this unit of competency. </w:t>
      </w:r>
    </w:p>
    <w:p w:rsidR="00000000" w:rsidRPr="002C0A04" w:rsidP="002C0A04">
      <w:pPr>
        <w:pStyle w:val="Heading1"/>
      </w:pPr>
      <w:bookmarkStart w:id="7" w:name="O_1293578"/>
      <w:bookmarkEnd w:id="7"/>
      <w:r w:rsidRPr="002C0A04">
        <w:t>Unit Mapping Information</w:t>
      </w:r>
    </w:p>
    <w:p w:rsidR="00000000" w:rsidRPr="002C0A04" w:rsidP="00E63C0A">
      <w:pPr>
        <w:pStyle w:val="BodyText"/>
      </w:pPr>
      <w:r w:rsidRPr="002C0A04">
        <w:t>Supersedes and is equivalent to CPCCCO3035 Assess and specify c</w:t>
      </w:r>
      <w:r w:rsidRPr="002C0A04">
        <w:t>oncrete supply requirements.</w:t>
      </w:r>
    </w:p>
    <w:p w:rsidR="00000000" w:rsidRPr="002C0A04" w:rsidP="002C0A04">
      <w:pPr>
        <w:pStyle w:val="Heading1"/>
      </w:pPr>
      <w:bookmarkStart w:id="8" w:name="O_1293585"/>
      <w:bookmarkEnd w:id="8"/>
      <w:r w:rsidRPr="002C0A04">
        <w:t>Links</w:t>
      </w:r>
    </w:p>
    <w:p w:rsidR="00000000" w:rsidRPr="002C0A04" w:rsidP="00E63C0A">
      <w:pPr>
        <w:pStyle w:val="BodyText"/>
      </w:pPr>
      <w:r w:rsidRPr="002C0A0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A579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C0A04" w:rsidP="00E63C0A">
      <w:pPr>
        <w:pStyle w:val="BodyText"/>
        <w:sectPr w:rsidSect="002C0A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0A04" w:rsidP="002C0A04">
      <w:pPr>
        <w:pStyle w:val="SuperHeading"/>
      </w:pPr>
      <w:r w:rsidRPr="002C0A04">
        <w:t>Assessment Requirements for CPCCON3035 Determine concrete supply requirements</w:t>
      </w:r>
    </w:p>
    <w:p w:rsidR="00000000" w:rsidRPr="002C0A04" w:rsidP="002C0A04">
      <w:pPr>
        <w:pStyle w:val="Heading1"/>
      </w:pPr>
      <w:bookmarkStart w:id="9" w:name="O_1293576"/>
      <w:bookmarkEnd w:id="9"/>
      <w:r w:rsidRPr="002C0A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366"/>
      </w:tblGrid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Release 2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Updated reference to general construction induction training program.</w:t>
            </w:r>
          </w:p>
        </w:tc>
      </w:tr>
      <w:tr w:rsidTr="002C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A04">
            <w:pPr>
              <w:pStyle w:val="BodyText"/>
              <w:rPr>
                <w:lang w:val="en-NZ"/>
              </w:rPr>
            </w:pPr>
            <w:r w:rsidRPr="002C0A04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A04" w:rsidP="002C0A04">
            <w:pPr>
              <w:pStyle w:val="BodyText"/>
            </w:pPr>
            <w:r w:rsidRPr="002C0A04">
              <w:t>This version first released</w:t>
            </w:r>
            <w:r w:rsidRPr="002C0A04">
              <w:t xml:space="preserve"> with CPC Construction, Plumbing and Services Training Package Release 5.0.</w:t>
            </w:r>
          </w:p>
          <w:p w:rsidR="00000000" w:rsidRPr="002C0A04" w:rsidP="002C0A04">
            <w:pPr>
              <w:pStyle w:val="BodyText"/>
            </w:pPr>
            <w:r w:rsidRPr="002C0A04">
              <w:t>Supersedes and is equivalent to CPCCCO3035 Assess and specify concrete supply requirements.</w:t>
            </w:r>
          </w:p>
        </w:tc>
      </w:tr>
    </w:tbl>
    <w:p w:rsidR="00000000" w:rsidRPr="002C0A04" w:rsidP="002C0A04">
      <w:pPr>
        <w:pStyle w:val="BodyText"/>
      </w:pPr>
    </w:p>
    <w:p w:rsidR="00000000" w:rsidRPr="002C0A04" w:rsidP="002C0A04">
      <w:pPr>
        <w:pStyle w:val="AllowPageBreak"/>
      </w:pPr>
    </w:p>
    <w:p w:rsidR="00000000" w:rsidRPr="002C0A04" w:rsidP="002C0A04">
      <w:pPr>
        <w:pStyle w:val="Heading1"/>
      </w:pPr>
      <w:bookmarkStart w:id="10" w:name="O_1293575"/>
      <w:bookmarkEnd w:id="10"/>
      <w:r w:rsidRPr="002C0A04">
        <w:t>Performance Evidence</w:t>
      </w:r>
    </w:p>
    <w:p w:rsidR="00000000" w:rsidRPr="002C0A04" w:rsidP="00E63C0A">
      <w:pPr>
        <w:pStyle w:val="BodyText"/>
      </w:pPr>
      <w:r w:rsidRPr="002C0A04">
        <w:t>To demonstrate competency, a candidate must meet the elements and performance criteria of this unit by determining concrete supply requirements for three different concreting projects.</w:t>
      </w:r>
    </w:p>
    <w:p w:rsidR="00000000" w:rsidRPr="002C0A04" w:rsidP="002C0A04">
      <w:pPr>
        <w:pStyle w:val="Heading1"/>
      </w:pPr>
      <w:bookmarkStart w:id="11" w:name="O_1293574"/>
      <w:bookmarkEnd w:id="11"/>
      <w:r w:rsidRPr="002C0A04">
        <w:t>Knowledge Evidence</w:t>
      </w:r>
    </w:p>
    <w:p w:rsidR="00000000" w:rsidRPr="002C0A04" w:rsidP="00E63C0A">
      <w:pPr>
        <w:pStyle w:val="BodyText"/>
      </w:pPr>
      <w:r w:rsidRPr="002C0A04">
        <w:t>To be competent in this unit, a c</w:t>
      </w:r>
      <w:r w:rsidRPr="002C0A04">
        <w:t>andidate must demonstrate knowledge of:</w:t>
      </w:r>
    </w:p>
    <w:p w:rsidR="00000000" w:rsidRPr="002C0A04" w:rsidP="002C0A04">
      <w:pPr>
        <w:pStyle w:val="ListBullet"/>
      </w:pPr>
      <w:r w:rsidRPr="002C0A04">
        <w:t>concrete composition including types and application of cement, aggregate and additives</w:t>
      </w:r>
    </w:p>
    <w:p w:rsidR="00000000" w:rsidRPr="002C0A04" w:rsidP="002C0A04">
      <w:pPr>
        <w:pStyle w:val="ListBullet"/>
      </w:pPr>
      <w:r w:rsidRPr="002C0A04">
        <w:t>concrete delivery methods and their effects on concrete material properties</w:t>
      </w:r>
    </w:p>
    <w:p w:rsidR="00000000" w:rsidRPr="002C0A04" w:rsidP="002C0A04">
      <w:pPr>
        <w:pStyle w:val="ListBullet"/>
      </w:pPr>
      <w:r w:rsidRPr="002C0A04">
        <w:t>concrete delivery scheduling considerations:</w:t>
      </w:r>
    </w:p>
    <w:p w:rsidR="00000000" w:rsidRPr="002C0A04" w:rsidP="002C0A04">
      <w:pPr>
        <w:pStyle w:val="ListBullet2"/>
      </w:pPr>
      <w:r w:rsidRPr="002C0A04">
        <w:t>addit</w:t>
      </w:r>
      <w:r w:rsidRPr="002C0A04">
        <w:t>ives</w:t>
      </w:r>
    </w:p>
    <w:p w:rsidR="00000000" w:rsidRPr="002C0A04" w:rsidP="002C0A04">
      <w:pPr>
        <w:pStyle w:val="ListBullet2"/>
      </w:pPr>
      <w:r w:rsidRPr="002C0A04">
        <w:t>consideration for drying shrinkage requirements</w:t>
      </w:r>
    </w:p>
    <w:p w:rsidR="00000000" w:rsidRPr="002C0A04" w:rsidP="002C0A04">
      <w:pPr>
        <w:pStyle w:val="ListBullet2"/>
      </w:pPr>
      <w:r w:rsidRPr="002C0A04">
        <w:t>megapascals (MPa)</w:t>
      </w:r>
    </w:p>
    <w:p w:rsidR="00000000" w:rsidRPr="002C0A04" w:rsidP="002C0A04">
      <w:pPr>
        <w:pStyle w:val="ListBullet2"/>
      </w:pPr>
      <w:r w:rsidRPr="002C0A04">
        <w:t>site access point</w:t>
      </w:r>
    </w:p>
    <w:p w:rsidR="00000000" w:rsidRPr="002C0A04" w:rsidP="002C0A04">
      <w:pPr>
        <w:pStyle w:val="ListBullet2"/>
      </w:pPr>
      <w:r w:rsidRPr="002C0A04">
        <w:t>time of delivery</w:t>
      </w:r>
    </w:p>
    <w:p w:rsidR="00000000" w:rsidRPr="002C0A04" w:rsidP="002C0A04">
      <w:pPr>
        <w:pStyle w:val="ListBullet2"/>
      </w:pPr>
      <w:r w:rsidRPr="002C0A04">
        <w:t>volume</w:t>
      </w:r>
    </w:p>
    <w:p w:rsidR="00000000" w:rsidRPr="002C0A04" w:rsidP="002C0A04">
      <w:pPr>
        <w:pStyle w:val="ListBullet"/>
      </w:pPr>
      <w:r w:rsidRPr="002C0A04">
        <w:t>content of concrete supply specifications</w:t>
      </w:r>
    </w:p>
    <w:p w:rsidR="00000000" w:rsidRPr="002C0A04" w:rsidP="002C0A04">
      <w:pPr>
        <w:pStyle w:val="ListBullet"/>
      </w:pPr>
      <w:r w:rsidRPr="002C0A04">
        <w:t>processes for ordering correct slump for application</w:t>
      </w:r>
    </w:p>
    <w:p w:rsidR="00000000" w:rsidRPr="002C0A04" w:rsidP="002C0A04">
      <w:pPr>
        <w:pStyle w:val="ListBullet"/>
      </w:pPr>
      <w:r w:rsidRPr="002C0A04">
        <w:t>processes for reviewing project plans and specifications to identify concrete supply requirements</w:t>
      </w:r>
    </w:p>
    <w:p w:rsidR="00000000" w:rsidRPr="002C0A04" w:rsidP="002C0A04">
      <w:pPr>
        <w:pStyle w:val="ListBullet"/>
      </w:pPr>
      <w:r w:rsidRPr="002C0A04">
        <w:t>requirements of Australian Standards and the National Construction Code (NCC) relevant to concrete supply specifications</w:t>
      </w:r>
    </w:p>
    <w:p w:rsidR="00000000" w:rsidRPr="002C0A04" w:rsidP="002C0A04">
      <w:pPr>
        <w:pStyle w:val="ListBullet"/>
      </w:pPr>
      <w:r w:rsidRPr="002C0A04">
        <w:t>types of concrete materials:</w:t>
      </w:r>
    </w:p>
    <w:p w:rsidR="00000000" w:rsidRPr="002C0A04" w:rsidP="002C0A04">
      <w:pPr>
        <w:pStyle w:val="ListBullet2"/>
      </w:pPr>
      <w:r w:rsidRPr="002C0A04">
        <w:t xml:space="preserve">normal </w:t>
      </w:r>
      <w:r w:rsidRPr="002C0A04">
        <w:t>class with strength grades in the range N20 to N50</w:t>
      </w:r>
    </w:p>
    <w:p w:rsidR="00000000" w:rsidRPr="002C0A04" w:rsidP="002C0A04">
      <w:pPr>
        <w:pStyle w:val="ListBullet2"/>
      </w:pPr>
      <w:r w:rsidRPr="002C0A04">
        <w:t>special class with strength grades in the range S20 to S100</w:t>
      </w:r>
    </w:p>
    <w:p w:rsidR="00000000" w:rsidRPr="002C0A04" w:rsidP="002C0A04">
      <w:pPr>
        <w:pStyle w:val="ListBullet"/>
      </w:pPr>
      <w:r w:rsidRPr="002C0A04">
        <w:t>workplace requirements for determining concrete supply requirements:</w:t>
      </w:r>
    </w:p>
    <w:p w:rsidR="00000000" w:rsidRPr="002C0A04" w:rsidP="002C0A04">
      <w:pPr>
        <w:pStyle w:val="ListBullet2"/>
      </w:pPr>
      <w:r w:rsidRPr="002C0A04">
        <w:t>documenting and checking supply requirements</w:t>
      </w:r>
    </w:p>
    <w:p w:rsidR="00000000" w:rsidRPr="002C0A04" w:rsidP="002C0A04">
      <w:pPr>
        <w:pStyle w:val="ListBullet2"/>
      </w:pPr>
      <w:r w:rsidRPr="002C0A04">
        <w:t>quality</w:t>
      </w:r>
    </w:p>
    <w:p w:rsidR="00000000" w:rsidRPr="002C0A04" w:rsidP="002C0A04">
      <w:pPr>
        <w:pStyle w:val="ListBullet2"/>
      </w:pPr>
      <w:r w:rsidRPr="002C0A04">
        <w:t>reporting problems</w:t>
      </w:r>
    </w:p>
    <w:p w:rsidR="00000000" w:rsidRPr="002C0A04" w:rsidP="002C0A04">
      <w:pPr>
        <w:pStyle w:val="ListBullet2"/>
      </w:pPr>
      <w:r w:rsidRPr="002C0A04">
        <w:t>scheduling deliveries and placing orders.</w:t>
      </w:r>
    </w:p>
    <w:p w:rsidR="00000000" w:rsidRPr="002C0A04" w:rsidP="002C0A04">
      <w:pPr>
        <w:pStyle w:val="AllowPageBreak"/>
      </w:pPr>
    </w:p>
    <w:p w:rsidR="00000000" w:rsidRPr="002C0A04" w:rsidP="002C0A04">
      <w:pPr>
        <w:pStyle w:val="Heading1"/>
      </w:pPr>
      <w:bookmarkStart w:id="12" w:name="O_1293573"/>
      <w:bookmarkEnd w:id="12"/>
      <w:r w:rsidRPr="002C0A04">
        <w:t>Assessment Conditions</w:t>
      </w:r>
    </w:p>
    <w:p w:rsidR="00000000" w:rsidRPr="002C0A04" w:rsidP="00E63C0A">
      <w:pPr>
        <w:pStyle w:val="BodyText"/>
      </w:pPr>
      <w:r w:rsidRPr="002C0A04">
        <w:t xml:space="preserve">Assessors must meet the requirements for assessors contained in the Standards for Registered Training Organisations. </w:t>
      </w:r>
    </w:p>
    <w:p w:rsidR="00000000" w:rsidRPr="002C0A04" w:rsidP="00E63C0A">
      <w:pPr>
        <w:pStyle w:val="BodyText"/>
      </w:pPr>
      <w:r w:rsidRPr="002C0A04">
        <w:t>Assessment must be conducted in the workplace or a simu</w:t>
      </w:r>
      <w:r w:rsidRPr="002C0A04">
        <w:t>lated workplace using realistic conditions, materials, activities, responsibilities, procedures, safety requirements and environmental considerations.</w:t>
      </w:r>
    </w:p>
    <w:p w:rsidR="00000000" w:rsidRPr="002C0A04" w:rsidP="00E63C0A">
      <w:pPr>
        <w:pStyle w:val="BodyText"/>
      </w:pPr>
      <w:r w:rsidRPr="002C0A04">
        <w:t>Candidates must have access to documentation, specifications and equipment required to achieve the perfor</w:t>
      </w:r>
      <w:r w:rsidRPr="002C0A04">
        <w:t>mance evidence.</w:t>
      </w:r>
    </w:p>
    <w:p w:rsidR="00000000" w:rsidRPr="002C0A04" w:rsidP="002C0A04">
      <w:pPr>
        <w:pStyle w:val="Heading1"/>
      </w:pPr>
      <w:bookmarkStart w:id="13" w:name="O_1293586"/>
      <w:bookmarkEnd w:id="13"/>
      <w:r w:rsidRPr="002C0A04">
        <w:t>Links</w:t>
      </w:r>
    </w:p>
    <w:p w:rsidR="00000000" w:rsidRPr="002C0A04" w:rsidP="00E63C0A">
      <w:pPr>
        <w:pStyle w:val="BodyText"/>
      </w:pPr>
      <w:r w:rsidRPr="002C0A0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A579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C0A04" w:rsidP="002C0A04"/>
    <w:sectPr w:rsidSect="002C0A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04" w:rsidRPr="00E63C0A" w:rsidP="00E63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0A" w:rsidP="002C0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C0A" w:rsidP="002C0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63C0A" w:rsidP="002C0A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04" w:rsidP="002C0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3C0A">
      <w:t>Approved</w:t>
    </w:r>
    <w:r w:rsidR="00E63C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3C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3C0A">
      <w:rPr>
        <w:noProof/>
      </w:rPr>
      <w:t>4</w:t>
    </w:r>
    <w:r>
      <w:rPr>
        <w:noProof/>
      </w:rPr>
      <w:fldChar w:fldCharType="end"/>
    </w:r>
  </w:p>
  <w:p w:rsidR="002C0A04" w:rsidP="002C0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3C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3C0A">
      <w:t>BuildSkills Australia</w:t>
    </w:r>
    <w:r w:rsidR="00E63C0A">
      <w:fldChar w:fldCharType="end"/>
    </w:r>
  </w:p>
  <w:p w:rsidR="002C0A04" w:rsidP="002C0A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A04" w:rsidRPr="00E63C0A" w:rsidP="00E63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0A" w:rsidRPr="002D2AF8" w:rsidP="002C0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CPCCON3035 Determine concrete supply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63C0A" w:rsidP="002C0A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04" w:rsidRPr="002D2AF8" w:rsidP="002C0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3C0A">
      <w:t>CPCCON3035 Determine concrete supply requirements</w:t>
    </w:r>
    <w:r w:rsidR="00E63C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3C0A">
      <w:rPr>
        <w:noProof/>
      </w:rPr>
      <w:t>1 March 2025</w:t>
    </w:r>
    <w:r>
      <w:fldChar w:fldCharType="end"/>
    </w:r>
  </w:p>
  <w:p w:rsidR="002C0A04" w:rsidP="002C0A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D46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F2E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64A6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A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A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A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A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A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A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A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A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A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A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A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A04"/>
  </w:style>
  <w:style w:type="character" w:customStyle="1" w:styleId="Heading1Char">
    <w:name w:val="Heading 1 Char"/>
    <w:basedOn w:val="DefaultParagraphFont"/>
    <w:link w:val="Heading1"/>
    <w:rsid w:val="002C0A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A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A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A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0A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0A04"/>
    <w:rPr>
      <w:i/>
    </w:rPr>
  </w:style>
  <w:style w:type="paragraph" w:customStyle="1" w:styleId="SuperHeading">
    <w:name w:val="SuperHeading"/>
    <w:basedOn w:val="Normal"/>
    <w:rsid w:val="002C0A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A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A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A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A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A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A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A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A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A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A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A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A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A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A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A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A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A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0A04"/>
    <w:rPr>
      <w:b/>
      <w:spacing w:val="0"/>
    </w:rPr>
  </w:style>
  <w:style w:type="paragraph" w:customStyle="1" w:styleId="SuperTitle">
    <w:name w:val="SuperTitle"/>
    <w:basedOn w:val="Title"/>
    <w:rsid w:val="002C0A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A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A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0A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A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A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A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A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A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A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A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A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0A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A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A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A04"/>
  </w:style>
  <w:style w:type="paragraph" w:styleId="TableofFigures">
    <w:name w:val="table of figures"/>
    <w:basedOn w:val="Normal"/>
    <w:next w:val="Normal"/>
    <w:semiHidden/>
    <w:rsid w:val="002C0A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A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0A04"/>
    <w:rPr>
      <w:rFonts w:ascii="Wingdings" w:hAnsi="Wingdings"/>
    </w:rPr>
  </w:style>
  <w:style w:type="paragraph" w:customStyle="1" w:styleId="TableHeading">
    <w:name w:val="Table Heading"/>
    <w:basedOn w:val="HeadingBase"/>
    <w:rsid w:val="002C0A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A04"/>
    <w:rPr>
      <w:color w:val="0033CC"/>
      <w:u w:val="none"/>
    </w:rPr>
  </w:style>
  <w:style w:type="paragraph" w:customStyle="1" w:styleId="BodyTextRight">
    <w:name w:val="Body Text Right"/>
    <w:basedOn w:val="BodyText"/>
    <w:rsid w:val="002C0A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A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A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A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A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A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A04"/>
    <w:rPr>
      <w:sz w:val="32"/>
    </w:rPr>
  </w:style>
  <w:style w:type="paragraph" w:customStyle="1" w:styleId="HeadingProcedure">
    <w:name w:val="Heading Procedure"/>
    <w:basedOn w:val="HeadingBase"/>
    <w:next w:val="Normal"/>
    <w:rsid w:val="002C0A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A04"/>
    <w:pPr>
      <w:spacing w:before="60" w:after="60"/>
    </w:pPr>
  </w:style>
  <w:style w:type="paragraph" w:styleId="ListContinue">
    <w:name w:val="List Continue"/>
    <w:basedOn w:val="List"/>
    <w:rsid w:val="002C0A04"/>
    <w:pPr>
      <w:ind w:firstLine="0"/>
    </w:pPr>
  </w:style>
  <w:style w:type="paragraph" w:customStyle="1" w:styleId="ListNote">
    <w:name w:val="List Note"/>
    <w:basedOn w:val="List"/>
    <w:rsid w:val="002C0A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A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A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A04"/>
    <w:rPr>
      <w:rFonts w:ascii="Courier New" w:hAnsi="Courier New"/>
    </w:rPr>
  </w:style>
  <w:style w:type="paragraph" w:customStyle="1" w:styleId="NoteBullet">
    <w:name w:val="Note Bullet"/>
    <w:basedOn w:val="Note"/>
    <w:rsid w:val="002C0A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A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A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A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A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0A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A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A04"/>
    <w:rPr>
      <w:b/>
      <w:smallCaps/>
    </w:rPr>
  </w:style>
  <w:style w:type="paragraph" w:customStyle="1" w:styleId="TableListNumber">
    <w:name w:val="Table List Number"/>
    <w:basedOn w:val="ListNumber"/>
    <w:rsid w:val="002C0A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A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A04"/>
    <w:pPr>
      <w:numPr>
        <w:numId w:val="9"/>
      </w:numPr>
    </w:pPr>
  </w:style>
  <w:style w:type="paragraph" w:customStyle="1" w:styleId="ListAlpha2">
    <w:name w:val="List Alpha 2"/>
    <w:basedOn w:val="List2"/>
    <w:rsid w:val="002C0A04"/>
    <w:pPr>
      <w:numPr>
        <w:numId w:val="8"/>
      </w:numPr>
    </w:pPr>
  </w:style>
  <w:style w:type="paragraph" w:styleId="List2">
    <w:name w:val="List 2"/>
    <w:basedOn w:val="BodyText"/>
    <w:rsid w:val="002C0A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A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A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A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A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A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0A04"/>
    <w:pPr>
      <w:numPr>
        <w:numId w:val="4"/>
      </w:numPr>
    </w:pPr>
  </w:style>
  <w:style w:type="paragraph" w:styleId="ListContinue2">
    <w:name w:val="List Continue 2"/>
    <w:basedOn w:val="List2"/>
    <w:rsid w:val="002C0A04"/>
    <w:pPr>
      <w:ind w:firstLine="0"/>
    </w:pPr>
  </w:style>
  <w:style w:type="paragraph" w:styleId="ListContinue3">
    <w:name w:val="List Continue 3"/>
    <w:basedOn w:val="List3"/>
    <w:rsid w:val="002C0A04"/>
    <w:pPr>
      <w:ind w:left="1021" w:firstLine="0"/>
    </w:pPr>
  </w:style>
  <w:style w:type="paragraph" w:styleId="ListContinue4">
    <w:name w:val="List Continue 4"/>
    <w:basedOn w:val="List4"/>
    <w:rsid w:val="002C0A04"/>
    <w:pPr>
      <w:ind w:firstLine="0"/>
    </w:pPr>
  </w:style>
  <w:style w:type="paragraph" w:styleId="ListContinue5">
    <w:name w:val="List Continue 5"/>
    <w:basedOn w:val="List5"/>
    <w:rsid w:val="002C0A04"/>
    <w:pPr>
      <w:ind w:firstLine="0"/>
    </w:pPr>
  </w:style>
  <w:style w:type="paragraph" w:styleId="ListNumber3">
    <w:name w:val="List Number 3"/>
    <w:basedOn w:val="List3"/>
    <w:rsid w:val="002C0A04"/>
    <w:pPr>
      <w:numPr>
        <w:numId w:val="5"/>
      </w:numPr>
    </w:pPr>
  </w:style>
  <w:style w:type="paragraph" w:styleId="ListNumber4">
    <w:name w:val="List Number 4"/>
    <w:basedOn w:val="List4"/>
    <w:rsid w:val="002C0A04"/>
    <w:pPr>
      <w:numPr>
        <w:numId w:val="6"/>
      </w:numPr>
    </w:pPr>
  </w:style>
  <w:style w:type="paragraph" w:styleId="ListNumber5">
    <w:name w:val="List Number 5"/>
    <w:basedOn w:val="List5"/>
    <w:rsid w:val="002C0A04"/>
    <w:pPr>
      <w:numPr>
        <w:numId w:val="7"/>
      </w:numPr>
    </w:pPr>
  </w:style>
  <w:style w:type="paragraph" w:styleId="BlockText">
    <w:name w:val="Block Text"/>
    <w:basedOn w:val="Normal"/>
    <w:rsid w:val="002C0A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A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A04"/>
    <w:rPr>
      <w:sz w:val="16"/>
      <w:vertAlign w:val="superscript"/>
    </w:rPr>
  </w:style>
  <w:style w:type="character" w:customStyle="1" w:styleId="Symbols">
    <w:name w:val="Symbols"/>
    <w:basedOn w:val="DefaultParagraphFont"/>
    <w:rsid w:val="002C0A04"/>
    <w:rPr>
      <w:rFonts w:ascii="Symbol" w:hAnsi="Symbol"/>
    </w:rPr>
  </w:style>
  <w:style w:type="character" w:customStyle="1" w:styleId="MenuOptions">
    <w:name w:val="Menu Options"/>
    <w:basedOn w:val="DefaultParagraphFont"/>
    <w:rsid w:val="002C0A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A04"/>
    <w:rPr>
      <w:b/>
    </w:rPr>
  </w:style>
  <w:style w:type="character" w:customStyle="1" w:styleId="Underlined">
    <w:name w:val="Underlined"/>
    <w:basedOn w:val="DefaultParagraphFont"/>
    <w:rsid w:val="002C0A04"/>
    <w:rPr>
      <w:u w:val="single"/>
    </w:rPr>
  </w:style>
  <w:style w:type="paragraph" w:customStyle="1" w:styleId="TableBodyTextRight">
    <w:name w:val="Table Body Text Right"/>
    <w:basedOn w:val="TableBodyText"/>
    <w:rsid w:val="002C0A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A04"/>
    <w:rPr>
      <w:sz w:val="18"/>
    </w:rPr>
  </w:style>
  <w:style w:type="paragraph" w:customStyle="1" w:styleId="BodySmallRight">
    <w:name w:val="Body Small Right"/>
    <w:basedOn w:val="BodyTextRight"/>
    <w:rsid w:val="002C0A04"/>
    <w:rPr>
      <w:sz w:val="18"/>
      <w:szCs w:val="18"/>
    </w:rPr>
  </w:style>
  <w:style w:type="paragraph" w:customStyle="1" w:styleId="MarginEdition">
    <w:name w:val="Margin Edition"/>
    <w:basedOn w:val="MarginNote"/>
    <w:rsid w:val="002C0A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A04"/>
    <w:rPr>
      <w:sz w:val="2"/>
      <w:szCs w:val="2"/>
    </w:rPr>
  </w:style>
  <w:style w:type="character" w:customStyle="1" w:styleId="Small">
    <w:name w:val="Small"/>
    <w:basedOn w:val="DefaultParagraphFont"/>
    <w:rsid w:val="002C0A04"/>
    <w:rPr>
      <w:sz w:val="16"/>
    </w:rPr>
  </w:style>
  <w:style w:type="paragraph" w:customStyle="1" w:styleId="WideTable">
    <w:name w:val="Wide Table"/>
    <w:basedOn w:val="Normal"/>
    <w:rsid w:val="002C0A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A04"/>
  </w:style>
  <w:style w:type="paragraph" w:styleId="Quote">
    <w:name w:val="Quote"/>
    <w:basedOn w:val="Heading1"/>
    <w:link w:val="QuoteChar"/>
    <w:qFormat/>
    <w:rsid w:val="002C0A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A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A04"/>
    <w:pPr>
      <w:pageBreakBefore/>
    </w:pPr>
  </w:style>
  <w:style w:type="paragraph" w:customStyle="1" w:styleId="Border">
    <w:name w:val="Border"/>
    <w:basedOn w:val="Normal"/>
    <w:qFormat/>
    <w:rsid w:val="002C0A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A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A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A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A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A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A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A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A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A04"/>
    <w:rPr>
      <w:u w:val="single"/>
    </w:rPr>
  </w:style>
  <w:style w:type="character" w:customStyle="1" w:styleId="BoldandItalics">
    <w:name w:val="Bold and Italics"/>
    <w:qFormat/>
    <w:rsid w:val="002C0A04"/>
    <w:rPr>
      <w:b/>
      <w:i/>
      <w:u w:val="none"/>
    </w:rPr>
  </w:style>
  <w:style w:type="paragraph" w:styleId="BalloonText">
    <w:name w:val="Balloon Text"/>
    <w:basedOn w:val="Normal"/>
    <w:link w:val="BalloonTextChar"/>
    <w:rsid w:val="002C0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A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A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A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A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A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A04"/>
    <w:pPr>
      <w:spacing w:before="0" w:after="0"/>
    </w:pPr>
  </w:style>
  <w:style w:type="paragraph" w:customStyle="1" w:styleId="BodyTextBold">
    <w:name w:val="Body Text Bold"/>
    <w:basedOn w:val="BodyText"/>
    <w:qFormat/>
    <w:rsid w:val="002C0A04"/>
    <w:rPr>
      <w:b/>
    </w:rPr>
  </w:style>
  <w:style w:type="character" w:styleId="Hyperlink">
    <w:name w:val="Hyperlink"/>
    <w:basedOn w:val="DefaultParagraphFont"/>
    <w:uiPriority w:val="99"/>
    <w:unhideWhenUsed/>
    <w:rsid w:val="00E63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6699</Characters>
  <Application>Microsoft Office Word</Application>
  <DocSecurity>0</DocSecurity>
  <Lines>257</Lines>
  <Paragraphs>140</Paragraphs>
  <ScaleCrop>false</ScaleCrop>
  <Company>Author-it Software Corporation Ltd.</Company>
  <LinksUpToDate>false</LinksUpToDate>
  <CharactersWithSpaces>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CPCCON3035 Determine concrete supply requirements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2025-03-01T10:39:00Z</dcterms:created>
  <dcterms:modified xsi:type="dcterms:W3CDTF">2025-03-01T10:39:00Z</dcterms:modified>
</cp:coreProperties>
</file>