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8FE" w:rsidP="00670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CPCCON2021 Handle concreting materials and components</w:t>
      </w:r>
      <w:r>
        <w:fldChar w:fldCharType="end"/>
      </w:r>
    </w:p>
    <w:p w:rsidR="006708FE" w:rsidP="006708FE">
      <w:pPr>
        <w:pStyle w:val="Version"/>
        <w:sectPr w:rsidSect="00735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5F34" w:rsidP="00735F34">
      <w:pPr>
        <w:pStyle w:val="SuperHeading"/>
      </w:pPr>
      <w:r w:rsidRPr="00735F34">
        <w:t>Assessment Requirements for CPCCON2021 Handle concreting materials and components</w:t>
      </w:r>
    </w:p>
    <w:p w:rsidR="00000000" w:rsidRPr="00735F34" w:rsidP="00735F34">
      <w:pPr>
        <w:pStyle w:val="Heading1"/>
      </w:pPr>
      <w:bookmarkStart w:id="1" w:name="O_1293608"/>
      <w:bookmarkEnd w:id="1"/>
      <w:r w:rsidRPr="00735F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230"/>
      </w:tblGrid>
      <w:tr w:rsidTr="00735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F34">
            <w:pPr>
              <w:pStyle w:val="BodyText"/>
              <w:rPr>
                <w:lang w:val="en-NZ"/>
              </w:rPr>
            </w:pPr>
            <w:r w:rsidRPr="00735F34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F34">
            <w:pPr>
              <w:pStyle w:val="BodyText"/>
              <w:rPr>
                <w:lang w:val="en-NZ"/>
              </w:rPr>
            </w:pPr>
            <w:r w:rsidRPr="00735F34">
              <w:t>Updated reference to general construction induction training program.</w:t>
            </w:r>
          </w:p>
        </w:tc>
      </w:tr>
      <w:tr w:rsidTr="00735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F34">
            <w:pPr>
              <w:pStyle w:val="BodyText"/>
              <w:rPr>
                <w:lang w:val="en-NZ"/>
              </w:rPr>
            </w:pPr>
            <w:r w:rsidRPr="00735F34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F34" w:rsidP="00735F34">
            <w:pPr>
              <w:pStyle w:val="BodyText"/>
            </w:pPr>
            <w:r w:rsidRPr="00735F34">
              <w:t>This version firs</w:t>
            </w:r>
            <w:r w:rsidRPr="00735F34">
              <w:t>t released with CPC Construction, Plumbing and Services Training Package Release 5.0</w:t>
            </w:r>
          </w:p>
          <w:p w:rsidR="00000000" w:rsidRPr="00735F34" w:rsidP="00735F34">
            <w:pPr>
              <w:pStyle w:val="BodyText"/>
            </w:pPr>
            <w:r w:rsidRPr="00735F34">
              <w:t>Supersedes and is equivalent to CPCCCO2021 Handle concreting materials.</w:t>
            </w:r>
          </w:p>
        </w:tc>
      </w:tr>
    </w:tbl>
    <w:p w:rsidR="00000000" w:rsidRPr="00735F34" w:rsidP="00735F34">
      <w:pPr>
        <w:pStyle w:val="BodyText"/>
      </w:pPr>
    </w:p>
    <w:p w:rsidR="00000000" w:rsidRPr="00735F34" w:rsidP="00735F34">
      <w:pPr>
        <w:pStyle w:val="AllowPageBreak"/>
      </w:pPr>
    </w:p>
    <w:p w:rsidR="00000000" w:rsidRPr="00735F34" w:rsidP="00735F34">
      <w:pPr>
        <w:pStyle w:val="Heading1"/>
      </w:pPr>
      <w:bookmarkStart w:id="2" w:name="O_1293607"/>
      <w:bookmarkEnd w:id="2"/>
      <w:r w:rsidRPr="00735F34">
        <w:t>Performance Evidence</w:t>
      </w:r>
    </w:p>
    <w:p w:rsidR="00000000" w:rsidRPr="00735F34" w:rsidP="006708FE">
      <w:pPr>
        <w:pStyle w:val="BodyText"/>
      </w:pPr>
      <w:r w:rsidRPr="00735F34">
        <w:t>To demonstrate competency, a candidate must meet the elem</w:t>
      </w:r>
      <w:r w:rsidRPr="00735F34">
        <w:t>ents and performance criteria of this unit by handling concreting materials and components in preparation for concreting tasks at three different placement sites.</w:t>
      </w:r>
    </w:p>
    <w:p w:rsidR="00000000" w:rsidRPr="00735F34" w:rsidP="00735F34">
      <w:pPr>
        <w:pStyle w:val="Heading1"/>
      </w:pPr>
      <w:bookmarkStart w:id="3" w:name="O_1293606"/>
      <w:bookmarkEnd w:id="3"/>
      <w:r w:rsidRPr="00735F34">
        <w:t>Knowledge Evidence</w:t>
      </w:r>
    </w:p>
    <w:p w:rsidR="00000000" w:rsidRPr="00735F34" w:rsidP="006708FE">
      <w:pPr>
        <w:pStyle w:val="BodyText"/>
      </w:pPr>
      <w:r w:rsidRPr="00735F34">
        <w:t>To be competent in this unit, a candidate must demonstr</w:t>
      </w:r>
      <w:r w:rsidRPr="00735F34">
        <w:t>ate knowledge of:</w:t>
      </w:r>
    </w:p>
    <w:p w:rsidR="00000000" w:rsidRPr="00735F34" w:rsidP="00735F34">
      <w:pPr>
        <w:pStyle w:val="ListBullet"/>
      </w:pPr>
      <w:r w:rsidRPr="00735F34">
        <w:t>compliance requirements of legislation and regulations relevant to concreting material and component handling tasks:</w:t>
      </w:r>
    </w:p>
    <w:p w:rsidR="00000000" w:rsidRPr="00735F34" w:rsidP="00735F34">
      <w:pPr>
        <w:pStyle w:val="ListBullet2"/>
      </w:pPr>
      <w:r w:rsidRPr="00735F34">
        <w:t>environmental protection and waste disposal</w:t>
      </w:r>
    </w:p>
    <w:p w:rsidR="00000000" w:rsidRPr="00735F34" w:rsidP="00735F34">
      <w:pPr>
        <w:pStyle w:val="ListBullet2"/>
      </w:pPr>
      <w:r w:rsidRPr="00735F34">
        <w:t>work health and safety (WHS):</w:t>
      </w:r>
    </w:p>
    <w:p w:rsidR="00000000" w:rsidRPr="00735F34" w:rsidP="00735F34">
      <w:pPr>
        <w:pStyle w:val="ListBullet3"/>
      </w:pPr>
      <w:r w:rsidRPr="00735F34">
        <w:t>hazard identification and risk control</w:t>
      </w:r>
    </w:p>
    <w:p w:rsidR="00000000" w:rsidRPr="00735F34" w:rsidP="00735F34">
      <w:pPr>
        <w:pStyle w:val="ListBullet3"/>
      </w:pPr>
      <w:r w:rsidRPr="00735F34">
        <w:t>personal protective equipment (PPE)</w:t>
      </w:r>
    </w:p>
    <w:p w:rsidR="00000000" w:rsidRPr="00735F34" w:rsidP="00735F34">
      <w:pPr>
        <w:pStyle w:val="ListBullet3"/>
      </w:pPr>
      <w:r w:rsidRPr="00735F34">
        <w:t>safe manual handling techniques</w:t>
      </w:r>
    </w:p>
    <w:p w:rsidR="00000000" w:rsidRPr="00735F34" w:rsidP="00735F34">
      <w:pPr>
        <w:pStyle w:val="ListBullet3"/>
      </w:pPr>
      <w:r w:rsidRPr="00735F34">
        <w:t>safety data sheets (SDS) and hazardous materials handling</w:t>
      </w:r>
    </w:p>
    <w:p w:rsidR="00000000" w:rsidRPr="00735F34" w:rsidP="00735F34">
      <w:pPr>
        <w:pStyle w:val="ListBullet3"/>
      </w:pPr>
      <w:r w:rsidRPr="00735F34">
        <w:t>safety manuals and instructions for tools and equipment used to handle materials and components</w:t>
      </w:r>
    </w:p>
    <w:p w:rsidR="00000000" w:rsidRPr="00735F34" w:rsidP="00735F34">
      <w:pPr>
        <w:pStyle w:val="ListBullet3"/>
      </w:pPr>
      <w:r w:rsidRPr="00735F34">
        <w:t>safe work method statements</w:t>
      </w:r>
    </w:p>
    <w:p w:rsidR="00000000" w:rsidRPr="00735F34" w:rsidP="00735F34">
      <w:pPr>
        <w:pStyle w:val="ListBullet3"/>
      </w:pPr>
      <w:r w:rsidRPr="00735F34">
        <w:t>signag</w:t>
      </w:r>
      <w:r w:rsidRPr="00735F34">
        <w:t>e and barricades</w:t>
      </w:r>
    </w:p>
    <w:p w:rsidR="00000000" w:rsidRPr="00735F34" w:rsidP="00735F34">
      <w:pPr>
        <w:pStyle w:val="ListBullet"/>
      </w:pPr>
      <w:r w:rsidRPr="00735F34">
        <w:t>health risks associated with silica dust exposure</w:t>
      </w:r>
    </w:p>
    <w:p w:rsidR="00000000" w:rsidRPr="00735F34" w:rsidP="00735F34">
      <w:pPr>
        <w:pStyle w:val="ListBullet"/>
      </w:pPr>
      <w:r w:rsidRPr="00735F34">
        <w:t>tools and equipment used when handling concreting materials and components</w:t>
      </w:r>
    </w:p>
    <w:p w:rsidR="00000000" w:rsidRPr="00735F34" w:rsidP="00735F34">
      <w:pPr>
        <w:pStyle w:val="ListBullet"/>
      </w:pPr>
      <w:r w:rsidRPr="00735F34">
        <w:t>types and purpose of components used in concreting:</w:t>
      </w:r>
    </w:p>
    <w:p w:rsidR="00000000" w:rsidRPr="00735F34" w:rsidP="00735F34">
      <w:pPr>
        <w:pStyle w:val="ListBullet2"/>
      </w:pPr>
      <w:r w:rsidRPr="00735F34">
        <w:t>bar chairs</w:t>
      </w:r>
    </w:p>
    <w:p w:rsidR="00000000" w:rsidRPr="00735F34" w:rsidP="00735F34">
      <w:pPr>
        <w:pStyle w:val="ListBullet2"/>
      </w:pPr>
      <w:r w:rsidRPr="00735F34">
        <w:t>bar steel</w:t>
      </w:r>
    </w:p>
    <w:p w:rsidR="00000000" w:rsidRPr="00735F34" w:rsidP="00735F34">
      <w:pPr>
        <w:pStyle w:val="ListBullet2"/>
      </w:pPr>
      <w:r w:rsidRPr="00735F34">
        <w:t>bracing</w:t>
      </w:r>
    </w:p>
    <w:p w:rsidR="00000000" w:rsidRPr="00735F34" w:rsidP="00735F34">
      <w:pPr>
        <w:pStyle w:val="ListBullet2"/>
      </w:pPr>
      <w:r w:rsidRPr="00735F34">
        <w:t>decking</w:t>
      </w:r>
    </w:p>
    <w:p w:rsidR="00000000" w:rsidRPr="00735F34" w:rsidP="00735F34">
      <w:pPr>
        <w:pStyle w:val="ListBullet2"/>
      </w:pPr>
      <w:r w:rsidRPr="00735F34">
        <w:t>key joints</w:t>
      </w:r>
    </w:p>
    <w:p w:rsidR="00000000" w:rsidRPr="00735F34" w:rsidP="00735F34">
      <w:pPr>
        <w:pStyle w:val="ListBullet2"/>
      </w:pPr>
      <w:r w:rsidRPr="00735F34">
        <w:t>plastic membrane</w:t>
      </w:r>
    </w:p>
    <w:p w:rsidR="00000000" w:rsidRPr="00735F34" w:rsidP="00735F34">
      <w:pPr>
        <w:pStyle w:val="ListBullet2"/>
      </w:pPr>
      <w:r w:rsidRPr="00735F34">
        <w:t>push-pull props</w:t>
      </w:r>
    </w:p>
    <w:p w:rsidR="00000000" w:rsidRPr="00735F34" w:rsidP="00735F34">
      <w:pPr>
        <w:pStyle w:val="ListBullet2"/>
      </w:pPr>
      <w:r w:rsidRPr="00735F34">
        <w:t>reinforcement bars</w:t>
      </w:r>
    </w:p>
    <w:p w:rsidR="00000000" w:rsidRPr="00735F34" w:rsidP="00735F34">
      <w:pPr>
        <w:pStyle w:val="ListBullet2"/>
      </w:pPr>
      <w:r w:rsidRPr="00735F34">
        <w:t>reinforcement mesh</w:t>
      </w:r>
    </w:p>
    <w:p w:rsidR="00000000" w:rsidRPr="00735F34" w:rsidP="00735F34">
      <w:pPr>
        <w:pStyle w:val="ListBullet2"/>
      </w:pPr>
      <w:r w:rsidRPr="00735F34">
        <w:t>spacers</w:t>
      </w:r>
    </w:p>
    <w:p w:rsidR="00000000" w:rsidRPr="00735F34" w:rsidP="00735F34">
      <w:pPr>
        <w:pStyle w:val="ListBullet2"/>
      </w:pPr>
      <w:r w:rsidRPr="00735F34">
        <w:t>steel and timber formwork</w:t>
      </w:r>
    </w:p>
    <w:p w:rsidR="00000000" w:rsidRPr="00735F34" w:rsidP="00735F34">
      <w:pPr>
        <w:pStyle w:val="ListBullet2"/>
      </w:pPr>
      <w:r w:rsidRPr="00735F34">
        <w:t>support props</w:t>
      </w:r>
    </w:p>
    <w:p w:rsidR="00000000" w:rsidRPr="00735F34" w:rsidP="00735F34">
      <w:pPr>
        <w:pStyle w:val="ListBullet2"/>
      </w:pPr>
      <w:r w:rsidRPr="00735F34">
        <w:t>waffle pods</w:t>
      </w:r>
    </w:p>
    <w:p w:rsidR="00000000" w:rsidRPr="00735F34" w:rsidP="00735F34">
      <w:pPr>
        <w:pStyle w:val="ListBullet"/>
      </w:pPr>
      <w:r w:rsidRPr="00735F34">
        <w:t>types and purpose of materials used in concreting:</w:t>
      </w:r>
    </w:p>
    <w:p w:rsidR="00000000" w:rsidRPr="00735F34" w:rsidP="00735F34">
      <w:pPr>
        <w:pStyle w:val="ListBullet2"/>
      </w:pPr>
      <w:r w:rsidRPr="00735F34">
        <w:t>additives</w:t>
      </w:r>
    </w:p>
    <w:p w:rsidR="00000000" w:rsidRPr="00735F34" w:rsidP="00735F34">
      <w:pPr>
        <w:pStyle w:val="ListBullet2"/>
      </w:pPr>
      <w:r w:rsidRPr="00735F34">
        <w:t>aggregates</w:t>
      </w:r>
    </w:p>
    <w:p w:rsidR="00000000" w:rsidRPr="00735F34" w:rsidP="00735F34">
      <w:pPr>
        <w:pStyle w:val="ListBullet2"/>
      </w:pPr>
      <w:r w:rsidRPr="00735F34">
        <w:t>cement</w:t>
      </w:r>
    </w:p>
    <w:p w:rsidR="00000000" w:rsidRPr="00735F34" w:rsidP="00735F34">
      <w:pPr>
        <w:pStyle w:val="ListBullet2"/>
      </w:pPr>
      <w:r w:rsidRPr="00735F34">
        <w:t>curing compounds</w:t>
      </w:r>
    </w:p>
    <w:p w:rsidR="00000000" w:rsidRPr="00735F34" w:rsidP="00735F34">
      <w:pPr>
        <w:pStyle w:val="ListBullet2"/>
      </w:pPr>
      <w:r w:rsidRPr="00735F34">
        <w:t>form release agents</w:t>
      </w:r>
    </w:p>
    <w:p w:rsidR="00000000" w:rsidRPr="00735F34" w:rsidP="00735F34">
      <w:pPr>
        <w:pStyle w:val="ListBullet2"/>
      </w:pPr>
      <w:r w:rsidRPr="00735F34">
        <w:t>general non-toxic concreting materials</w:t>
      </w:r>
    </w:p>
    <w:p w:rsidR="00000000" w:rsidRPr="00735F34" w:rsidP="00735F34">
      <w:pPr>
        <w:pStyle w:val="ListBullet2"/>
      </w:pPr>
      <w:r w:rsidRPr="00735F34">
        <w:t>oxides</w:t>
      </w:r>
    </w:p>
    <w:p w:rsidR="00000000" w:rsidRPr="00735F34" w:rsidP="00735F34">
      <w:pPr>
        <w:pStyle w:val="ListBullet2"/>
      </w:pPr>
      <w:r w:rsidRPr="00735F34">
        <w:t>sand</w:t>
      </w:r>
    </w:p>
    <w:p w:rsidR="00000000" w:rsidRPr="00735F34" w:rsidP="00735F34">
      <w:pPr>
        <w:pStyle w:val="ListBullet2"/>
      </w:pPr>
      <w:r w:rsidRPr="00735F34">
        <w:t>water</w:t>
      </w:r>
    </w:p>
    <w:p w:rsidR="00000000" w:rsidRPr="00735F34" w:rsidP="00735F34">
      <w:pPr>
        <w:pStyle w:val="ListBullet"/>
      </w:pPr>
      <w:r w:rsidRPr="00735F34">
        <w:t>workplace requirements for handling concreting materials and components:</w:t>
      </w:r>
    </w:p>
    <w:p w:rsidR="00000000" w:rsidRPr="00735F34" w:rsidP="00735F34">
      <w:pPr>
        <w:pStyle w:val="ListBullet2"/>
      </w:pPr>
      <w:r w:rsidRPr="00735F34">
        <w:t>cleaning up the work area</w:t>
      </w:r>
    </w:p>
    <w:p w:rsidR="00000000" w:rsidRPr="00735F34" w:rsidP="00735F34">
      <w:pPr>
        <w:pStyle w:val="ListBullet2"/>
      </w:pPr>
      <w:r w:rsidRPr="00735F34">
        <w:t>maintaining and storing tools, equipment, materials and components</w:t>
      </w:r>
    </w:p>
    <w:p w:rsidR="00000000" w:rsidRPr="00735F34" w:rsidP="00735F34">
      <w:pPr>
        <w:pStyle w:val="ListBullet2"/>
      </w:pPr>
      <w:r w:rsidRPr="00735F34">
        <w:t>reporting problems</w:t>
      </w:r>
    </w:p>
    <w:p w:rsidR="00000000" w:rsidRPr="00735F34" w:rsidP="00735F34">
      <w:pPr>
        <w:pStyle w:val="ListBullet2"/>
      </w:pPr>
      <w:r w:rsidRPr="00735F34">
        <w:t>safety requirements.</w:t>
      </w:r>
    </w:p>
    <w:p w:rsidR="00000000" w:rsidRPr="00735F34" w:rsidP="00735F34">
      <w:pPr>
        <w:pStyle w:val="AllowPageBreak"/>
      </w:pPr>
    </w:p>
    <w:p w:rsidR="00000000" w:rsidRPr="00735F34" w:rsidP="00735F34">
      <w:pPr>
        <w:pStyle w:val="Heading1"/>
      </w:pPr>
      <w:bookmarkStart w:id="4" w:name="O_1293605"/>
      <w:bookmarkEnd w:id="4"/>
      <w:r w:rsidRPr="00735F34">
        <w:t>Assessment Conditions</w:t>
      </w:r>
    </w:p>
    <w:p w:rsidR="00000000" w:rsidRPr="00735F34" w:rsidP="006708FE">
      <w:pPr>
        <w:pStyle w:val="BodyText"/>
      </w:pPr>
      <w:r w:rsidRPr="00735F34">
        <w:t xml:space="preserve">Assessors must meet the requirements for assessors contained in the Standards for Registered Training Organisations. </w:t>
      </w:r>
    </w:p>
    <w:p w:rsidR="00000000" w:rsidRPr="00735F34" w:rsidP="006708FE">
      <w:pPr>
        <w:pStyle w:val="BodyText"/>
      </w:pPr>
      <w:r w:rsidRPr="00735F34">
        <w:t>Assessment must be conducted in the workplace or a simulated workplace using</w:t>
      </w:r>
      <w:r w:rsidRPr="00735F34">
        <w:t xml:space="preserve"> realistic conditions, materials, activities, responsibilities, procedures, safety requirements and environmental considerations.</w:t>
      </w:r>
    </w:p>
    <w:p w:rsidR="00000000" w:rsidRPr="00735F34" w:rsidP="006708FE">
      <w:pPr>
        <w:pStyle w:val="BodyText"/>
      </w:pPr>
      <w:r w:rsidRPr="00735F34">
        <w:t xml:space="preserve">Candidates must have access to documentation, instructions, concreting materials and components, tools and equipment required </w:t>
      </w:r>
      <w:r w:rsidRPr="00735F34">
        <w:t>to achieve the performance evidence.</w:t>
      </w:r>
    </w:p>
    <w:p w:rsidR="00000000" w:rsidRPr="00735F34" w:rsidP="00735F34">
      <w:pPr>
        <w:pStyle w:val="Heading1"/>
      </w:pPr>
      <w:bookmarkStart w:id="5" w:name="O_1293618"/>
      <w:bookmarkEnd w:id="5"/>
      <w:r w:rsidRPr="00735F34">
        <w:t>Links</w:t>
      </w:r>
    </w:p>
    <w:p w:rsidR="00000000" w:rsidRPr="00735F34" w:rsidP="006708FE">
      <w:pPr>
        <w:pStyle w:val="BodyText"/>
      </w:pPr>
      <w:r w:rsidRPr="00735F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F27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5F34" w:rsidP="00735F34"/>
    <w:sectPr w:rsidSect="00735F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34" w:rsidRPr="006708FE" w:rsidP="00670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FE" w:rsidP="00735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8FE" w:rsidP="00735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708FE" w:rsidP="00735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F34" w:rsidRPr="006708FE" w:rsidP="00670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FE" w:rsidRPr="002D2AF8" w:rsidP="00735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CPCCON2021 Handle concreting materials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708FE" w:rsidP="00735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AC3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D65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82A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F34"/>
  </w:style>
  <w:style w:type="character" w:customStyle="1" w:styleId="Heading1Char">
    <w:name w:val="Heading 1 Char"/>
    <w:basedOn w:val="DefaultParagraphFont"/>
    <w:link w:val="Heading1"/>
    <w:rsid w:val="00735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F3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5F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5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5F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5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F34"/>
    <w:rPr>
      <w:b/>
      <w:spacing w:val="0"/>
    </w:rPr>
  </w:style>
  <w:style w:type="paragraph" w:customStyle="1" w:styleId="SuperTitle">
    <w:name w:val="SuperTitle"/>
    <w:basedOn w:val="Title"/>
    <w:rsid w:val="00735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F34"/>
    <w:rPr>
      <w:i/>
    </w:rPr>
  </w:style>
  <w:style w:type="paragraph" w:styleId="Caption">
    <w:name w:val="caption"/>
    <w:basedOn w:val="BodyText"/>
    <w:next w:val="Normal"/>
    <w:qFormat/>
    <w:rsid w:val="00735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F34"/>
  </w:style>
  <w:style w:type="paragraph" w:styleId="TableofFigures">
    <w:name w:val="table of figures"/>
    <w:basedOn w:val="Normal"/>
    <w:next w:val="Normal"/>
    <w:semiHidden/>
    <w:rsid w:val="00735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F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5F34"/>
    <w:rPr>
      <w:rFonts w:ascii="Wingdings" w:hAnsi="Wingdings"/>
    </w:rPr>
  </w:style>
  <w:style w:type="paragraph" w:customStyle="1" w:styleId="TableHeading">
    <w:name w:val="Table Heading"/>
    <w:basedOn w:val="HeadingBase"/>
    <w:rsid w:val="00735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F34"/>
    <w:rPr>
      <w:color w:val="0033CC"/>
      <w:u w:val="none"/>
    </w:rPr>
  </w:style>
  <w:style w:type="paragraph" w:customStyle="1" w:styleId="BodyTextRight">
    <w:name w:val="Body Text Right"/>
    <w:basedOn w:val="BodyText"/>
    <w:rsid w:val="00735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F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F34"/>
    <w:rPr>
      <w:sz w:val="32"/>
    </w:rPr>
  </w:style>
  <w:style w:type="paragraph" w:customStyle="1" w:styleId="HeadingProcedure">
    <w:name w:val="Heading Procedure"/>
    <w:basedOn w:val="HeadingBase"/>
    <w:next w:val="Normal"/>
    <w:rsid w:val="00735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F34"/>
    <w:pPr>
      <w:spacing w:before="60" w:after="60"/>
    </w:pPr>
  </w:style>
  <w:style w:type="paragraph" w:styleId="ListContinue">
    <w:name w:val="List Continue"/>
    <w:basedOn w:val="List"/>
    <w:rsid w:val="00735F34"/>
    <w:pPr>
      <w:ind w:firstLine="0"/>
    </w:pPr>
  </w:style>
  <w:style w:type="paragraph" w:customStyle="1" w:styleId="ListNote">
    <w:name w:val="List Note"/>
    <w:basedOn w:val="List"/>
    <w:rsid w:val="00735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F34"/>
    <w:rPr>
      <w:rFonts w:ascii="Courier New" w:hAnsi="Courier New"/>
    </w:rPr>
  </w:style>
  <w:style w:type="paragraph" w:customStyle="1" w:styleId="NoteBullet">
    <w:name w:val="Note Bullet"/>
    <w:basedOn w:val="Note"/>
    <w:rsid w:val="00735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F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5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F34"/>
    <w:rPr>
      <w:b/>
      <w:smallCaps/>
    </w:rPr>
  </w:style>
  <w:style w:type="paragraph" w:customStyle="1" w:styleId="TableListNumber">
    <w:name w:val="Table List Number"/>
    <w:basedOn w:val="ListNumber"/>
    <w:rsid w:val="00735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F34"/>
    <w:pPr>
      <w:numPr>
        <w:numId w:val="10"/>
      </w:numPr>
    </w:pPr>
  </w:style>
  <w:style w:type="paragraph" w:customStyle="1" w:styleId="ListAlpha2">
    <w:name w:val="List Alpha 2"/>
    <w:basedOn w:val="List2"/>
    <w:rsid w:val="00735F34"/>
    <w:pPr>
      <w:numPr>
        <w:numId w:val="9"/>
      </w:numPr>
    </w:pPr>
  </w:style>
  <w:style w:type="paragraph" w:styleId="List2">
    <w:name w:val="List 2"/>
    <w:basedOn w:val="BodyText"/>
    <w:rsid w:val="00735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F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5F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5F34"/>
    <w:pPr>
      <w:numPr>
        <w:numId w:val="5"/>
      </w:numPr>
    </w:pPr>
  </w:style>
  <w:style w:type="paragraph" w:styleId="ListContinue2">
    <w:name w:val="List Continue 2"/>
    <w:basedOn w:val="List2"/>
    <w:rsid w:val="00735F34"/>
    <w:pPr>
      <w:ind w:firstLine="0"/>
    </w:pPr>
  </w:style>
  <w:style w:type="paragraph" w:styleId="ListContinue3">
    <w:name w:val="List Continue 3"/>
    <w:basedOn w:val="List3"/>
    <w:rsid w:val="00735F34"/>
    <w:pPr>
      <w:ind w:left="1021" w:firstLine="0"/>
    </w:pPr>
  </w:style>
  <w:style w:type="paragraph" w:styleId="ListContinue4">
    <w:name w:val="List Continue 4"/>
    <w:basedOn w:val="List4"/>
    <w:rsid w:val="00735F34"/>
    <w:pPr>
      <w:ind w:firstLine="0"/>
    </w:pPr>
  </w:style>
  <w:style w:type="paragraph" w:styleId="ListContinue5">
    <w:name w:val="List Continue 5"/>
    <w:basedOn w:val="List5"/>
    <w:rsid w:val="00735F34"/>
    <w:pPr>
      <w:ind w:firstLine="0"/>
    </w:pPr>
  </w:style>
  <w:style w:type="paragraph" w:styleId="ListNumber3">
    <w:name w:val="List Number 3"/>
    <w:basedOn w:val="List3"/>
    <w:rsid w:val="00735F34"/>
    <w:pPr>
      <w:numPr>
        <w:numId w:val="6"/>
      </w:numPr>
    </w:pPr>
  </w:style>
  <w:style w:type="paragraph" w:styleId="ListNumber4">
    <w:name w:val="List Number 4"/>
    <w:basedOn w:val="List4"/>
    <w:rsid w:val="00735F34"/>
    <w:pPr>
      <w:numPr>
        <w:numId w:val="7"/>
      </w:numPr>
    </w:pPr>
  </w:style>
  <w:style w:type="paragraph" w:styleId="ListNumber5">
    <w:name w:val="List Number 5"/>
    <w:basedOn w:val="List5"/>
    <w:rsid w:val="00735F34"/>
    <w:pPr>
      <w:numPr>
        <w:numId w:val="8"/>
      </w:numPr>
    </w:pPr>
  </w:style>
  <w:style w:type="paragraph" w:styleId="BlockText">
    <w:name w:val="Block Text"/>
    <w:basedOn w:val="Normal"/>
    <w:rsid w:val="00735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F34"/>
    <w:rPr>
      <w:sz w:val="16"/>
      <w:vertAlign w:val="superscript"/>
    </w:rPr>
  </w:style>
  <w:style w:type="character" w:customStyle="1" w:styleId="Symbols">
    <w:name w:val="Symbols"/>
    <w:basedOn w:val="DefaultParagraphFont"/>
    <w:rsid w:val="00735F34"/>
    <w:rPr>
      <w:rFonts w:ascii="Symbol" w:hAnsi="Symbol"/>
    </w:rPr>
  </w:style>
  <w:style w:type="character" w:customStyle="1" w:styleId="MenuOptions">
    <w:name w:val="Menu Options"/>
    <w:basedOn w:val="DefaultParagraphFont"/>
    <w:rsid w:val="00735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F34"/>
    <w:rPr>
      <w:b/>
    </w:rPr>
  </w:style>
  <w:style w:type="character" w:customStyle="1" w:styleId="Underlined">
    <w:name w:val="Underlined"/>
    <w:basedOn w:val="DefaultParagraphFont"/>
    <w:rsid w:val="00735F34"/>
    <w:rPr>
      <w:u w:val="single"/>
    </w:rPr>
  </w:style>
  <w:style w:type="paragraph" w:customStyle="1" w:styleId="TableBodyTextRight">
    <w:name w:val="Table Body Text Right"/>
    <w:basedOn w:val="TableBodyText"/>
    <w:rsid w:val="00735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F34"/>
    <w:rPr>
      <w:sz w:val="18"/>
    </w:rPr>
  </w:style>
  <w:style w:type="paragraph" w:customStyle="1" w:styleId="BodySmallRight">
    <w:name w:val="Body Small Right"/>
    <w:basedOn w:val="BodyTextRight"/>
    <w:rsid w:val="00735F34"/>
    <w:rPr>
      <w:sz w:val="18"/>
      <w:szCs w:val="18"/>
    </w:rPr>
  </w:style>
  <w:style w:type="paragraph" w:customStyle="1" w:styleId="MarginEdition">
    <w:name w:val="Margin Edition"/>
    <w:basedOn w:val="MarginNote"/>
    <w:rsid w:val="00735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F34"/>
    <w:rPr>
      <w:sz w:val="2"/>
      <w:szCs w:val="2"/>
    </w:rPr>
  </w:style>
  <w:style w:type="character" w:customStyle="1" w:styleId="Small">
    <w:name w:val="Small"/>
    <w:basedOn w:val="DefaultParagraphFont"/>
    <w:rsid w:val="00735F34"/>
    <w:rPr>
      <w:sz w:val="16"/>
    </w:rPr>
  </w:style>
  <w:style w:type="paragraph" w:customStyle="1" w:styleId="WideTable">
    <w:name w:val="Wide Table"/>
    <w:basedOn w:val="Normal"/>
    <w:rsid w:val="00735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F34"/>
  </w:style>
  <w:style w:type="paragraph" w:styleId="Quote">
    <w:name w:val="Quote"/>
    <w:basedOn w:val="Heading1"/>
    <w:link w:val="QuoteChar"/>
    <w:qFormat/>
    <w:rsid w:val="00735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F34"/>
    <w:pPr>
      <w:pageBreakBefore/>
    </w:pPr>
  </w:style>
  <w:style w:type="paragraph" w:customStyle="1" w:styleId="Border">
    <w:name w:val="Border"/>
    <w:basedOn w:val="Normal"/>
    <w:qFormat/>
    <w:rsid w:val="00735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F34"/>
    <w:rPr>
      <w:u w:val="single"/>
    </w:rPr>
  </w:style>
  <w:style w:type="character" w:customStyle="1" w:styleId="BoldandItalics">
    <w:name w:val="Bold and Italics"/>
    <w:qFormat/>
    <w:rsid w:val="00735F34"/>
    <w:rPr>
      <w:b/>
      <w:i/>
      <w:u w:val="none"/>
    </w:rPr>
  </w:style>
  <w:style w:type="paragraph" w:styleId="BalloonText">
    <w:name w:val="Balloon Text"/>
    <w:basedOn w:val="Normal"/>
    <w:link w:val="BalloonTextChar"/>
    <w:rsid w:val="00735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F34"/>
    <w:pPr>
      <w:spacing w:before="0" w:after="0"/>
    </w:pPr>
  </w:style>
  <w:style w:type="paragraph" w:customStyle="1" w:styleId="BodyTextBold">
    <w:name w:val="Body Text Bold"/>
    <w:basedOn w:val="BodyText"/>
    <w:qFormat/>
    <w:rsid w:val="00735F34"/>
    <w:rPr>
      <w:b/>
    </w:rPr>
  </w:style>
  <w:style w:type="character" w:styleId="Hyperlink">
    <w:name w:val="Hyperlink"/>
    <w:basedOn w:val="DefaultParagraphFont"/>
    <w:uiPriority w:val="99"/>
    <w:unhideWhenUsed/>
    <w:rsid w:val="00670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2528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CPCCON2021 Handle concreting materials and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