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D40" w:rsidP="00EB0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CPCCOM1016 Identify requirements for safe precast and tilt-up work</w:t>
      </w:r>
      <w:r>
        <w:fldChar w:fldCharType="end"/>
      </w:r>
    </w:p>
    <w:p w:rsidR="00EB0D40" w:rsidP="00EB0D40">
      <w:pPr>
        <w:pStyle w:val="Version"/>
        <w:sectPr w:rsidSect="00E16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684D" w:rsidP="00E1684D">
      <w:pPr>
        <w:pStyle w:val="SuperHeading"/>
      </w:pPr>
      <w:r w:rsidRPr="00E1684D">
        <w:t>CPCCOM1016 Identify requirements for safe precast and tilt-up work</w:t>
      </w:r>
    </w:p>
    <w:p w:rsidR="00000000" w:rsidRPr="00E1684D" w:rsidP="00E1684D">
      <w:pPr>
        <w:pStyle w:val="Heading1"/>
      </w:pPr>
      <w:bookmarkStart w:id="1" w:name="O_1293696"/>
      <w:bookmarkEnd w:id="1"/>
      <w:r w:rsidRPr="00E16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Updated reference to general construction induction training program.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84D" w:rsidP="00E1684D">
            <w:pPr>
              <w:pStyle w:val="BodyText"/>
            </w:pPr>
            <w:r w:rsidRPr="00E1684D">
              <w:t>This version first released with CPC Construction, Plumbing and Services Training Package Release 5.0.</w:t>
            </w:r>
          </w:p>
          <w:p w:rsidR="00000000" w:rsidRPr="00E1684D" w:rsidP="00E1684D">
            <w:pPr>
              <w:pStyle w:val="BodyText"/>
            </w:pPr>
            <w:r w:rsidRPr="00E1684D">
              <w:t>Supersedes but is not equivalent to CPCCCM1016 Identify requirements for safe tilt-up work.</w:t>
            </w:r>
          </w:p>
        </w:tc>
      </w:tr>
    </w:tbl>
    <w:p w:rsidR="00000000" w:rsidRPr="00E1684D" w:rsidP="00E1684D">
      <w:pPr>
        <w:pStyle w:val="BodyText"/>
      </w:pPr>
    </w:p>
    <w:p w:rsidR="00000000" w:rsidRPr="00E1684D" w:rsidP="00E1684D">
      <w:pPr>
        <w:pStyle w:val="AllowPageBreak"/>
      </w:pPr>
    </w:p>
    <w:p w:rsidR="00000000" w:rsidRPr="00E1684D" w:rsidP="00E1684D">
      <w:pPr>
        <w:pStyle w:val="Heading1"/>
      </w:pPr>
      <w:bookmarkStart w:id="2" w:name="O_1293695"/>
      <w:bookmarkEnd w:id="2"/>
      <w:r w:rsidRPr="00E1684D">
        <w:t>Application</w:t>
      </w:r>
    </w:p>
    <w:p w:rsidR="00000000" w:rsidRPr="00E1684D" w:rsidP="00EB0D40">
      <w:pPr>
        <w:pStyle w:val="BodyText"/>
      </w:pPr>
      <w:r w:rsidRPr="00E1684D">
        <w:t>This unit of competency spec</w:t>
      </w:r>
      <w:r w:rsidRPr="00E1684D">
        <w:t>ifies the skills and knowledge required to identify requirements for safe precast and tilt-up work in construction. It includes requirements for safe handling of prefabricated concrete elements such as precast wall panels, beams, columns and slabs.</w:t>
      </w:r>
    </w:p>
    <w:p w:rsidR="00000000" w:rsidRPr="00E1684D" w:rsidP="00EB0D40">
      <w:pPr>
        <w:pStyle w:val="BodyText"/>
      </w:pPr>
      <w:r w:rsidRPr="00E1684D">
        <w:t>A perso</w:t>
      </w:r>
      <w:r w:rsidRPr="00E1684D">
        <w:t>n working at this level is expected to complete tasks assigned to them under supervision.</w:t>
      </w:r>
    </w:p>
    <w:p w:rsidR="00000000" w:rsidRPr="00E1684D" w:rsidP="00EB0D40">
      <w:pPr>
        <w:pStyle w:val="BodyText"/>
      </w:pPr>
      <w:r w:rsidRPr="00E1684D">
        <w:t>Completion of the general construction induction training program specified by the model Code of Practice for Construction Work is required for any person who is to c</w:t>
      </w:r>
      <w:r w:rsidRPr="00E1684D">
        <w:t xml:space="preserve">arry out construction work. Achievement of </w:t>
      </w:r>
      <w:r w:rsidRPr="00E1684D">
        <w:rPr>
          <w:rStyle w:val="Emphasis"/>
        </w:rPr>
        <w:t>CPCWHS1001</w:t>
      </w:r>
      <w:r w:rsidRPr="00E1684D">
        <w:t xml:space="preserve"> </w:t>
      </w:r>
      <w:r w:rsidRPr="00E1684D">
        <w:rPr>
          <w:rStyle w:val="Emphasis"/>
        </w:rPr>
        <w:t>Prepare to work safely in the construction industry</w:t>
      </w:r>
      <w:r w:rsidRPr="00E1684D">
        <w:t xml:space="preserve"> meets this requirement.</w:t>
      </w:r>
    </w:p>
    <w:p w:rsidR="00000000" w:rsidRPr="00E1684D" w:rsidP="00EB0D40">
      <w:pPr>
        <w:pStyle w:val="BodyText"/>
      </w:pPr>
      <w:r w:rsidRPr="00E1684D">
        <w:t>No licensing, legislative or certification requirements apply to this unit at the time of publication.</w:t>
      </w:r>
    </w:p>
    <w:p w:rsidR="00000000" w:rsidRPr="00E1684D" w:rsidP="00E1684D">
      <w:pPr>
        <w:pStyle w:val="Heading1"/>
      </w:pPr>
      <w:bookmarkStart w:id="3" w:name="O_1293694"/>
      <w:bookmarkEnd w:id="3"/>
      <w:r w:rsidRPr="00E1684D">
        <w:t>Pre-requisite Unit</w:t>
      </w:r>
    </w:p>
    <w:p w:rsidR="00000000" w:rsidRPr="00E1684D" w:rsidP="00EB0D40">
      <w:pPr>
        <w:pStyle w:val="BodyText"/>
      </w:pPr>
      <w:r w:rsidRPr="00E1684D">
        <w:t>Nil.</w:t>
      </w:r>
    </w:p>
    <w:p w:rsidR="00000000" w:rsidRPr="00E1684D" w:rsidP="00E1684D">
      <w:pPr>
        <w:pStyle w:val="Heading1"/>
      </w:pPr>
      <w:bookmarkStart w:id="4" w:name="O_1293693"/>
      <w:bookmarkEnd w:id="4"/>
      <w:r w:rsidRPr="00E1684D">
        <w:t>Unit Sector</w:t>
      </w:r>
    </w:p>
    <w:p w:rsidR="00000000" w:rsidRPr="00E1684D" w:rsidP="00EB0D40">
      <w:pPr>
        <w:pStyle w:val="BodyText"/>
      </w:pPr>
      <w:r w:rsidRPr="00E1684D">
        <w:t>Concreting</w:t>
      </w:r>
    </w:p>
    <w:p w:rsidR="00000000" w:rsidRPr="00E1684D" w:rsidP="00E1684D">
      <w:pPr>
        <w:pStyle w:val="Heading1"/>
      </w:pPr>
      <w:bookmarkStart w:id="5" w:name="O_1293692"/>
      <w:bookmarkEnd w:id="5"/>
      <w:r w:rsidRPr="00E168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Performance criteria describe what needs to be done to demonstrate achievement of the element.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 xml:space="preserve">Identify precast or </w:t>
            </w:r>
            <w:r w:rsidRPr="00E1684D">
              <w:t>tilt-up construction and risk management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 xml:space="preserve">Identify sequence of tasks and activities for each stage of </w:t>
            </w:r>
            <w:r w:rsidRPr="00E1684D">
              <w:t>planned precast or tilt-up construction process, and typical faults, problems and hazards.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basic principles of risk management and responsibilities of duty holders for planned precast or tilt-up construction process.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 xml:space="preserve">Identify methods and procedures used to control precast or tilt-up construction hazards, including the content of </w:t>
            </w:r>
            <w:r w:rsidRPr="00E1684D">
              <w:t>a job safety analysis, work plan and/or work health and safety management plan, and safe work method statement.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procedures for responding to, rectifying and reporting faults, problems, and hazards.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own role and responsibilities in the precast or tilt-up construction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own role and responsibilities and those of others relevant to the precast or tilt-up construction process.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regulatory requirements relevant to own role and responsibilities in the precast or tilt-up construction process.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general work procedures, documentation, drawings and plans for carrying out precast or tilt-up construction process r</w:t>
            </w:r>
            <w:r w:rsidRPr="00E1684D">
              <w:t>elevant to own role and responsibilities.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Identify general safety requirements for equipment and tools used in the precast or tilt-up construction process relevant to own role and responsibilities.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84D" w:rsidP="00E1684D">
            <w:pPr>
              <w:pStyle w:val="BodyText"/>
            </w:pPr>
            <w:r w:rsidRPr="00E1684D">
              <w:t>Communicate with relevant persons to establish that key safety requirements have been met before undertaking own work associated with the precast or tilt-up construction process.</w:t>
            </w:r>
          </w:p>
        </w:tc>
      </w:tr>
    </w:tbl>
    <w:p w:rsidR="00000000" w:rsidRPr="00E1684D" w:rsidP="00E1684D">
      <w:pPr>
        <w:pStyle w:val="BodyText"/>
      </w:pPr>
    </w:p>
    <w:p w:rsidR="00000000" w:rsidRPr="00E1684D" w:rsidP="00E1684D">
      <w:pPr>
        <w:pStyle w:val="AllowPageBreak"/>
      </w:pPr>
    </w:p>
    <w:p w:rsidR="00000000" w:rsidRPr="00E1684D" w:rsidP="00E1684D">
      <w:pPr>
        <w:pStyle w:val="Heading1"/>
      </w:pPr>
      <w:bookmarkStart w:id="6" w:name="O_1293691"/>
      <w:bookmarkEnd w:id="6"/>
      <w:r w:rsidRPr="00E1684D">
        <w:t>Foundation Skills</w:t>
      </w:r>
    </w:p>
    <w:p w:rsidR="00000000" w:rsidRPr="00E1684D" w:rsidP="00EB0D40">
      <w:pPr>
        <w:pStyle w:val="BodyText"/>
      </w:pPr>
      <w:r w:rsidRPr="00E1684D">
        <w:t>Foundation skills essential to perform</w:t>
      </w:r>
      <w:r w:rsidRPr="00E1684D">
        <w:t xml:space="preserve">ance are explicit in the performance criteria of this unit of competency. </w:t>
      </w:r>
    </w:p>
    <w:p w:rsidR="00000000" w:rsidRPr="00E1684D" w:rsidP="00E1684D">
      <w:pPr>
        <w:pStyle w:val="Heading1"/>
      </w:pPr>
      <w:bookmarkStart w:id="7" w:name="O_1293690"/>
      <w:bookmarkEnd w:id="7"/>
      <w:r w:rsidRPr="00E1684D">
        <w:t>Unit Mapping Information</w:t>
      </w:r>
    </w:p>
    <w:p w:rsidR="00000000" w:rsidRPr="00E1684D" w:rsidP="00EB0D40">
      <w:pPr>
        <w:pStyle w:val="BodyText"/>
      </w:pPr>
      <w:r w:rsidRPr="00E1684D">
        <w:t>Supersedes but is not equivalent to CPCCCM1016 Identify requirements for safe tilt-up work.</w:t>
      </w:r>
    </w:p>
    <w:p w:rsidR="00000000" w:rsidRPr="00E1684D" w:rsidP="00E1684D">
      <w:pPr>
        <w:pStyle w:val="Heading1"/>
      </w:pPr>
      <w:bookmarkStart w:id="8" w:name="O_1293697"/>
      <w:bookmarkEnd w:id="8"/>
      <w:r w:rsidRPr="00E1684D">
        <w:t>Links</w:t>
      </w:r>
    </w:p>
    <w:p w:rsidR="00000000" w:rsidRPr="00E1684D" w:rsidP="00EB0D40">
      <w:pPr>
        <w:pStyle w:val="BodyText"/>
      </w:pPr>
      <w:r w:rsidRPr="00E1684D">
        <w:t>Companion volumes to</w:t>
      </w:r>
      <w:r w:rsidRPr="00E1684D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0F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684D" w:rsidP="00EB0D40">
      <w:pPr>
        <w:pStyle w:val="BodyText"/>
        <w:sectPr w:rsidSect="00E16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84D" w:rsidP="00E1684D">
      <w:pPr>
        <w:pStyle w:val="SuperHeading"/>
      </w:pPr>
      <w:r w:rsidRPr="00E1684D">
        <w:t xml:space="preserve">Assessment </w:t>
      </w:r>
      <w:r w:rsidRPr="00E1684D">
        <w:t>Requirements for CPCCOM1016 Identify requirements for safe precast and tilt-up work</w:t>
      </w:r>
    </w:p>
    <w:p w:rsidR="00000000" w:rsidRPr="00E1684D" w:rsidP="00E1684D">
      <w:pPr>
        <w:pStyle w:val="Heading1"/>
      </w:pPr>
      <w:bookmarkStart w:id="9" w:name="O_1293688"/>
      <w:bookmarkEnd w:id="9"/>
      <w:r w:rsidRPr="00E16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Updated reference to general construction induction training program.</w:t>
            </w:r>
          </w:p>
        </w:tc>
      </w:tr>
      <w:tr w:rsidTr="00E1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84D">
            <w:pPr>
              <w:pStyle w:val="BodyText"/>
              <w:rPr>
                <w:lang w:val="en-NZ"/>
              </w:rPr>
            </w:pPr>
            <w:r w:rsidRPr="00E1684D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84D" w:rsidP="00E1684D">
            <w:pPr>
              <w:pStyle w:val="BodyText"/>
            </w:pPr>
            <w:r w:rsidRPr="00E1684D">
              <w:t>This version first released with CPC Const</w:t>
            </w:r>
            <w:r w:rsidRPr="00E1684D">
              <w:t>ruction, Plumbing and Services Training Package Release 5.0.</w:t>
            </w:r>
          </w:p>
          <w:p w:rsidR="00000000" w:rsidRPr="00E1684D" w:rsidP="00E1684D">
            <w:pPr>
              <w:pStyle w:val="BodyText"/>
            </w:pPr>
            <w:r w:rsidRPr="00E1684D">
              <w:t>Supersedes but is not equivalent to CPCCCM1016 Identify requirements for safe tilt-up work.</w:t>
            </w:r>
          </w:p>
        </w:tc>
      </w:tr>
    </w:tbl>
    <w:p w:rsidR="00000000" w:rsidRPr="00E1684D" w:rsidP="00E1684D">
      <w:pPr>
        <w:pStyle w:val="BodyText"/>
      </w:pPr>
    </w:p>
    <w:p w:rsidR="00000000" w:rsidRPr="00E1684D" w:rsidP="00E1684D">
      <w:pPr>
        <w:pStyle w:val="AllowPageBreak"/>
      </w:pPr>
    </w:p>
    <w:p w:rsidR="00000000" w:rsidRPr="00E1684D" w:rsidP="00E1684D">
      <w:pPr>
        <w:pStyle w:val="Heading1"/>
      </w:pPr>
      <w:bookmarkStart w:id="10" w:name="O_1293687"/>
      <w:bookmarkEnd w:id="10"/>
      <w:r w:rsidRPr="00E1684D">
        <w:t>Performance Evidence</w:t>
      </w:r>
    </w:p>
    <w:p w:rsidR="00000000" w:rsidRPr="00E1684D" w:rsidP="00EB0D40">
      <w:pPr>
        <w:pStyle w:val="BodyText"/>
      </w:pPr>
      <w:r w:rsidRPr="00E1684D">
        <w:t>To demonstrate competency, a candidate must meet the elements</w:t>
      </w:r>
      <w:r w:rsidRPr="00E1684D">
        <w:t xml:space="preserve"> and performance criteria of this unit by identifying requirements for safe precast or tilt-up work at one workplace where the precast or tilt-up construction process is used.</w:t>
      </w:r>
    </w:p>
    <w:p w:rsidR="00000000" w:rsidRPr="00E1684D" w:rsidP="00E1684D">
      <w:pPr>
        <w:pStyle w:val="Heading1"/>
      </w:pPr>
      <w:bookmarkStart w:id="11" w:name="O_1293686"/>
      <w:bookmarkEnd w:id="11"/>
      <w:r w:rsidRPr="00E1684D">
        <w:t>Knowledge Evidence</w:t>
      </w:r>
    </w:p>
    <w:p w:rsidR="00000000" w:rsidRPr="00E1684D" w:rsidP="00EB0D40">
      <w:pPr>
        <w:pStyle w:val="BodyText"/>
      </w:pPr>
      <w:r w:rsidRPr="00E1684D">
        <w:t>To be competent in this unit, a candidate must demonstrate knowledge of:</w:t>
      </w:r>
    </w:p>
    <w:p w:rsidR="00000000" w:rsidRPr="00E1684D" w:rsidP="00E1684D">
      <w:pPr>
        <w:pStyle w:val="ListBullet"/>
      </w:pPr>
      <w:r w:rsidRPr="00E1684D">
        <w:t>basic principles of risk management relevant to precast and tilt-up construction</w:t>
      </w:r>
    </w:p>
    <w:p w:rsidR="00000000" w:rsidRPr="00E1684D" w:rsidP="00E1684D">
      <w:pPr>
        <w:pStyle w:val="ListBullet"/>
      </w:pPr>
      <w:r w:rsidRPr="00E1684D">
        <w:t>general safety requirements for equipment and tools used in precast and tilt-up construction:</w:t>
      </w:r>
    </w:p>
    <w:p w:rsidR="00000000" w:rsidRPr="00E1684D" w:rsidP="00E1684D">
      <w:pPr>
        <w:pStyle w:val="ListBullet2"/>
      </w:pPr>
      <w:r w:rsidRPr="00E1684D">
        <w:t>cranes</w:t>
      </w:r>
    </w:p>
    <w:p w:rsidR="00000000" w:rsidRPr="00E1684D" w:rsidP="00E1684D">
      <w:pPr>
        <w:pStyle w:val="ListBullet2"/>
      </w:pPr>
      <w:r w:rsidRPr="00E1684D">
        <w:t>elevated work platforms</w:t>
      </w:r>
    </w:p>
    <w:p w:rsidR="00000000" w:rsidRPr="00E1684D" w:rsidP="00E1684D">
      <w:pPr>
        <w:pStyle w:val="ListBullet2"/>
      </w:pPr>
      <w:r w:rsidRPr="00E1684D">
        <w:t>manual tools</w:t>
      </w:r>
    </w:p>
    <w:p w:rsidR="00000000" w:rsidRPr="00E1684D" w:rsidP="00E1684D">
      <w:pPr>
        <w:pStyle w:val="ListBullet2"/>
      </w:pPr>
      <w:r w:rsidRPr="00E1684D">
        <w:t>mobile scaffolding</w:t>
      </w:r>
    </w:p>
    <w:p w:rsidR="00000000" w:rsidRPr="00E1684D" w:rsidP="00E1684D">
      <w:pPr>
        <w:pStyle w:val="ListBullet2"/>
      </w:pPr>
      <w:r w:rsidRPr="00E1684D">
        <w:t>portable electric and pneumatic tools</w:t>
      </w:r>
    </w:p>
    <w:p w:rsidR="00000000" w:rsidRPr="00E1684D" w:rsidP="00E1684D">
      <w:pPr>
        <w:pStyle w:val="ListBullet2"/>
      </w:pPr>
      <w:r w:rsidRPr="00E1684D">
        <w:t>braces and props</w:t>
      </w:r>
    </w:p>
    <w:p w:rsidR="00000000" w:rsidRPr="00E1684D" w:rsidP="00E1684D">
      <w:pPr>
        <w:pStyle w:val="ListBullet2"/>
      </w:pPr>
      <w:r w:rsidRPr="00E1684D">
        <w:t>rigging equipment and gear</w:t>
      </w:r>
    </w:p>
    <w:p w:rsidR="00000000" w:rsidRPr="00E1684D" w:rsidP="00E1684D">
      <w:pPr>
        <w:pStyle w:val="ListBullet2"/>
      </w:pPr>
      <w:r w:rsidRPr="00E1684D">
        <w:t>safety net and static lines</w:t>
      </w:r>
    </w:p>
    <w:p w:rsidR="00000000" w:rsidRPr="00E1684D" w:rsidP="00E1684D">
      <w:pPr>
        <w:pStyle w:val="ListBullet"/>
      </w:pPr>
      <w:r w:rsidRPr="00E1684D">
        <w:t>work health and safety and regulatory requirements relevant to the precast and tilt-up c</w:t>
      </w:r>
      <w:r w:rsidRPr="00E1684D">
        <w:t>onstruction process:</w:t>
      </w:r>
    </w:p>
    <w:p w:rsidR="00000000" w:rsidRPr="00E1684D" w:rsidP="00E1684D">
      <w:pPr>
        <w:pStyle w:val="ListBullet2"/>
      </w:pPr>
      <w:r w:rsidRPr="00E1684D">
        <w:t xml:space="preserve">Australian Standard (AS) 3850 </w:t>
      </w:r>
      <w:r w:rsidRPr="00E1684D">
        <w:rPr>
          <w:rStyle w:val="Emphasis"/>
        </w:rPr>
        <w:t>Prefabricated concrete elements</w:t>
      </w:r>
    </w:p>
    <w:p w:rsidR="00000000" w:rsidRPr="00E1684D" w:rsidP="00E1684D">
      <w:pPr>
        <w:pStyle w:val="ListBullet2"/>
      </w:pPr>
      <w:r w:rsidRPr="00E1684D">
        <w:t>duty holder responsibilities</w:t>
      </w:r>
    </w:p>
    <w:p w:rsidR="00000000" w:rsidRPr="00E1684D" w:rsidP="00E1684D">
      <w:pPr>
        <w:pStyle w:val="ListBullet2"/>
      </w:pPr>
      <w:r w:rsidRPr="00E1684D">
        <w:t>emergency procedures</w:t>
      </w:r>
    </w:p>
    <w:p w:rsidR="00000000" w:rsidRPr="00E1684D" w:rsidP="00E1684D">
      <w:pPr>
        <w:pStyle w:val="ListBullet2"/>
      </w:pPr>
      <w:r w:rsidRPr="00E1684D">
        <w:t xml:space="preserve">job safety analyses </w:t>
      </w:r>
    </w:p>
    <w:p w:rsidR="00000000" w:rsidRPr="00E1684D" w:rsidP="00E1684D">
      <w:pPr>
        <w:pStyle w:val="ListBullet2"/>
      </w:pPr>
      <w:r w:rsidRPr="00E1684D">
        <w:t>personal protective equipment</w:t>
      </w:r>
    </w:p>
    <w:p w:rsidR="00000000" w:rsidRPr="00E1684D" w:rsidP="00E1684D">
      <w:pPr>
        <w:pStyle w:val="ListBullet2"/>
      </w:pPr>
      <w:r w:rsidRPr="00E1684D">
        <w:t>safe work method statements</w:t>
      </w:r>
    </w:p>
    <w:p w:rsidR="00000000" w:rsidRPr="00E1684D" w:rsidP="00E1684D">
      <w:pPr>
        <w:pStyle w:val="ListBullet2"/>
      </w:pPr>
      <w:r w:rsidRPr="00E1684D">
        <w:t>work plans and/or work health and safety management plans</w:t>
      </w:r>
    </w:p>
    <w:p w:rsidR="00000000" w:rsidRPr="00E1684D" w:rsidP="00E1684D">
      <w:pPr>
        <w:pStyle w:val="ListBullet2"/>
      </w:pPr>
      <w:r w:rsidRPr="00E1684D">
        <w:t>working around mobile plant and machinery, and general site hazards</w:t>
      </w:r>
    </w:p>
    <w:p w:rsidR="00000000" w:rsidRPr="00E1684D" w:rsidP="00E1684D">
      <w:pPr>
        <w:pStyle w:val="ListBullet"/>
      </w:pPr>
      <w:r w:rsidRPr="00E1684D">
        <w:t>stages of the precast and tilt-up construction processes and their interrelationships:</w:t>
      </w:r>
    </w:p>
    <w:p w:rsidR="00000000" w:rsidRPr="00E1684D" w:rsidP="00E1684D">
      <w:pPr>
        <w:pStyle w:val="ListBullet2"/>
      </w:pPr>
      <w:r w:rsidRPr="00E1684D">
        <w:t>design and manufacture</w:t>
      </w:r>
    </w:p>
    <w:p w:rsidR="00000000" w:rsidRPr="00E1684D" w:rsidP="00E1684D">
      <w:pPr>
        <w:pStyle w:val="ListBullet2"/>
      </w:pPr>
      <w:r w:rsidRPr="00E1684D">
        <w:t xml:space="preserve">handling, storage </w:t>
      </w:r>
      <w:r w:rsidRPr="00E1684D">
        <w:t>and transportation</w:t>
      </w:r>
    </w:p>
    <w:p w:rsidR="00000000" w:rsidRPr="00E1684D" w:rsidP="00E1684D">
      <w:pPr>
        <w:pStyle w:val="ListBullet2"/>
      </w:pPr>
      <w:r w:rsidRPr="00E1684D">
        <w:t>cranage and erection</w:t>
      </w:r>
    </w:p>
    <w:p w:rsidR="00000000" w:rsidRPr="00E1684D" w:rsidP="00E1684D">
      <w:pPr>
        <w:pStyle w:val="ListBullet2"/>
      </w:pPr>
      <w:r w:rsidRPr="00E1684D">
        <w:t>temporary bracing, stabilisation and incorporation of concrete panels</w:t>
      </w:r>
    </w:p>
    <w:p w:rsidR="00000000" w:rsidRPr="00E1684D" w:rsidP="00E1684D">
      <w:pPr>
        <w:pStyle w:val="ListBullet2"/>
      </w:pPr>
      <w:r w:rsidRPr="00E1684D">
        <w:t>demolition</w:t>
      </w:r>
    </w:p>
    <w:p w:rsidR="00000000" w:rsidRPr="00E1684D" w:rsidP="00E1684D">
      <w:pPr>
        <w:pStyle w:val="ListBullet"/>
      </w:pPr>
      <w:r w:rsidRPr="00E1684D">
        <w:t xml:space="preserve">typical faults, problems and hazards that may occur when design and safety requirements are not met in </w:t>
      </w:r>
      <w:r w:rsidRPr="00E1684D">
        <w:t>the precast and tilt-up construction process.</w:t>
      </w:r>
    </w:p>
    <w:p w:rsidR="00000000" w:rsidRPr="00E1684D" w:rsidP="00E1684D">
      <w:pPr>
        <w:pStyle w:val="AllowPageBreak"/>
      </w:pPr>
    </w:p>
    <w:p w:rsidR="00000000" w:rsidRPr="00E1684D" w:rsidP="00E1684D">
      <w:pPr>
        <w:pStyle w:val="Heading1"/>
      </w:pPr>
      <w:bookmarkStart w:id="12" w:name="O_1293685"/>
      <w:bookmarkEnd w:id="12"/>
      <w:r w:rsidRPr="00E1684D">
        <w:t>Assessment Conditions</w:t>
      </w:r>
    </w:p>
    <w:p w:rsidR="00000000" w:rsidRPr="00E1684D" w:rsidP="00EB0D40">
      <w:pPr>
        <w:pStyle w:val="BodyText"/>
      </w:pPr>
      <w:r w:rsidRPr="00E1684D">
        <w:t xml:space="preserve">Assessors must meet the requirements for assessors contained in the Standards for Registered Training Organisations. </w:t>
      </w:r>
    </w:p>
    <w:p w:rsidR="00000000" w:rsidRPr="00E1684D" w:rsidP="00EB0D40">
      <w:pPr>
        <w:pStyle w:val="BodyText"/>
      </w:pPr>
      <w:r w:rsidRPr="00E1684D">
        <w:t xml:space="preserve">Assessment must be conducted in the workplace or a </w:t>
      </w:r>
      <w:r w:rsidRPr="00E1684D">
        <w:t>simulated workplace using realistic conditions, materials, activities, responsibilities, procedures, safety requirements and environmental considerations.</w:t>
      </w:r>
    </w:p>
    <w:p w:rsidR="00000000" w:rsidRPr="00E1684D" w:rsidP="00EB0D40">
      <w:pPr>
        <w:pStyle w:val="BodyText"/>
      </w:pPr>
      <w:r w:rsidRPr="00E1684D">
        <w:t>Candidates must have access to full documentation relating to jurisdictional requirements for safe pr</w:t>
      </w:r>
      <w:r w:rsidRPr="00E1684D">
        <w:t>ecast and tilt-up work.</w:t>
      </w:r>
    </w:p>
    <w:p w:rsidR="00000000" w:rsidRPr="00E1684D" w:rsidP="00E1684D">
      <w:pPr>
        <w:pStyle w:val="Heading1"/>
      </w:pPr>
      <w:bookmarkStart w:id="13" w:name="O_1293698"/>
      <w:bookmarkEnd w:id="13"/>
      <w:r w:rsidRPr="00E1684D">
        <w:t>Links</w:t>
      </w:r>
    </w:p>
    <w:p w:rsidR="00000000" w:rsidRPr="00E1684D" w:rsidP="00EB0D40">
      <w:pPr>
        <w:pStyle w:val="BodyText"/>
      </w:pPr>
      <w:r w:rsidRPr="00E168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0F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684D" w:rsidP="00E1684D"/>
    <w:sectPr w:rsidSect="00E16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 w:rsidRPr="00EB0D40" w:rsidP="00EB0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0" w:rsidP="00E16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D40" w:rsidP="00E16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0D40" w:rsidP="00E16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 w:rsidP="00E16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0D40">
      <w:t>Approved</w:t>
    </w:r>
    <w:r w:rsidR="00EB0D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0D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0D40">
      <w:rPr>
        <w:noProof/>
      </w:rPr>
      <w:t>4</w:t>
    </w:r>
    <w:r>
      <w:rPr>
        <w:noProof/>
      </w:rPr>
      <w:fldChar w:fldCharType="end"/>
    </w:r>
  </w:p>
  <w:p w:rsidR="00E1684D" w:rsidP="00E16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0D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0D40">
      <w:t>BuildSkills Australia</w:t>
    </w:r>
    <w:r w:rsidR="00EB0D40">
      <w:fldChar w:fldCharType="end"/>
    </w:r>
  </w:p>
  <w:p w:rsidR="00E1684D" w:rsidP="00E16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84D" w:rsidRPr="00EB0D40" w:rsidP="00EB0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0" w:rsidRPr="002D2AF8" w:rsidP="00E16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CPCCOM1016 Identify requirements for safe precast and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0D40" w:rsidP="00E16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84D" w:rsidRPr="002D2AF8" w:rsidP="00E16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0D40">
      <w:t>CPCCOM1016 Identify requirements for safe precast and tilt-up work</w:t>
    </w:r>
    <w:r w:rsidR="00EB0D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0D40">
      <w:rPr>
        <w:noProof/>
      </w:rPr>
      <w:t>2 March 2025</w:t>
    </w:r>
    <w:r>
      <w:fldChar w:fldCharType="end"/>
    </w:r>
  </w:p>
  <w:p w:rsidR="00E1684D" w:rsidP="00E16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29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40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8B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84D"/>
  </w:style>
  <w:style w:type="character" w:customStyle="1" w:styleId="Heading1Char">
    <w:name w:val="Heading 1 Char"/>
    <w:basedOn w:val="DefaultParagraphFont"/>
    <w:link w:val="Heading1"/>
    <w:rsid w:val="00E16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8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8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84D"/>
    <w:rPr>
      <w:i/>
    </w:rPr>
  </w:style>
  <w:style w:type="paragraph" w:customStyle="1" w:styleId="SuperHeading">
    <w:name w:val="SuperHeading"/>
    <w:basedOn w:val="Normal"/>
    <w:rsid w:val="00E16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84D"/>
    <w:rPr>
      <w:b/>
      <w:spacing w:val="0"/>
    </w:rPr>
  </w:style>
  <w:style w:type="paragraph" w:customStyle="1" w:styleId="SuperTitle">
    <w:name w:val="SuperTitle"/>
    <w:basedOn w:val="Title"/>
    <w:rsid w:val="00E16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84D"/>
  </w:style>
  <w:style w:type="paragraph" w:styleId="TableofFigures">
    <w:name w:val="table of figures"/>
    <w:basedOn w:val="Normal"/>
    <w:next w:val="Normal"/>
    <w:semiHidden/>
    <w:rsid w:val="00E16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84D"/>
    <w:rPr>
      <w:rFonts w:ascii="Wingdings" w:hAnsi="Wingdings"/>
    </w:rPr>
  </w:style>
  <w:style w:type="paragraph" w:customStyle="1" w:styleId="TableHeading">
    <w:name w:val="Table Heading"/>
    <w:basedOn w:val="HeadingBase"/>
    <w:rsid w:val="00E16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84D"/>
    <w:rPr>
      <w:color w:val="0033CC"/>
      <w:u w:val="none"/>
    </w:rPr>
  </w:style>
  <w:style w:type="paragraph" w:customStyle="1" w:styleId="BodyTextRight">
    <w:name w:val="Body Text Right"/>
    <w:basedOn w:val="BodyText"/>
    <w:rsid w:val="00E16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84D"/>
    <w:rPr>
      <w:sz w:val="32"/>
    </w:rPr>
  </w:style>
  <w:style w:type="paragraph" w:customStyle="1" w:styleId="HeadingProcedure">
    <w:name w:val="Heading Procedure"/>
    <w:basedOn w:val="HeadingBase"/>
    <w:next w:val="Normal"/>
    <w:rsid w:val="00E16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84D"/>
    <w:pPr>
      <w:spacing w:before="60" w:after="60"/>
    </w:pPr>
  </w:style>
  <w:style w:type="paragraph" w:styleId="ListContinue">
    <w:name w:val="List Continue"/>
    <w:basedOn w:val="List"/>
    <w:rsid w:val="00E1684D"/>
    <w:pPr>
      <w:ind w:firstLine="0"/>
    </w:pPr>
  </w:style>
  <w:style w:type="paragraph" w:customStyle="1" w:styleId="ListNote">
    <w:name w:val="List Note"/>
    <w:basedOn w:val="List"/>
    <w:rsid w:val="00E16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84D"/>
    <w:rPr>
      <w:rFonts w:ascii="Courier New" w:hAnsi="Courier New"/>
    </w:rPr>
  </w:style>
  <w:style w:type="paragraph" w:customStyle="1" w:styleId="NoteBullet">
    <w:name w:val="Note Bullet"/>
    <w:basedOn w:val="Note"/>
    <w:rsid w:val="00E16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84D"/>
    <w:rPr>
      <w:b/>
      <w:smallCaps/>
    </w:rPr>
  </w:style>
  <w:style w:type="paragraph" w:customStyle="1" w:styleId="TableListNumber">
    <w:name w:val="Table List Number"/>
    <w:basedOn w:val="ListNumber"/>
    <w:rsid w:val="00E16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84D"/>
    <w:pPr>
      <w:numPr>
        <w:numId w:val="9"/>
      </w:numPr>
    </w:pPr>
  </w:style>
  <w:style w:type="paragraph" w:customStyle="1" w:styleId="ListAlpha2">
    <w:name w:val="List Alpha 2"/>
    <w:basedOn w:val="List2"/>
    <w:rsid w:val="00E1684D"/>
    <w:pPr>
      <w:numPr>
        <w:numId w:val="8"/>
      </w:numPr>
    </w:pPr>
  </w:style>
  <w:style w:type="paragraph" w:styleId="List2">
    <w:name w:val="List 2"/>
    <w:basedOn w:val="BodyText"/>
    <w:rsid w:val="00E16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84D"/>
    <w:pPr>
      <w:numPr>
        <w:numId w:val="4"/>
      </w:numPr>
    </w:pPr>
  </w:style>
  <w:style w:type="paragraph" w:styleId="ListContinue2">
    <w:name w:val="List Continue 2"/>
    <w:basedOn w:val="List2"/>
    <w:rsid w:val="00E1684D"/>
    <w:pPr>
      <w:ind w:firstLine="0"/>
    </w:pPr>
  </w:style>
  <w:style w:type="paragraph" w:styleId="ListContinue3">
    <w:name w:val="List Continue 3"/>
    <w:basedOn w:val="List3"/>
    <w:rsid w:val="00E1684D"/>
    <w:pPr>
      <w:ind w:left="1021" w:firstLine="0"/>
    </w:pPr>
  </w:style>
  <w:style w:type="paragraph" w:styleId="ListContinue4">
    <w:name w:val="List Continue 4"/>
    <w:basedOn w:val="List4"/>
    <w:rsid w:val="00E1684D"/>
    <w:pPr>
      <w:ind w:firstLine="0"/>
    </w:pPr>
  </w:style>
  <w:style w:type="paragraph" w:styleId="ListContinue5">
    <w:name w:val="List Continue 5"/>
    <w:basedOn w:val="List5"/>
    <w:rsid w:val="00E1684D"/>
    <w:pPr>
      <w:ind w:firstLine="0"/>
    </w:pPr>
  </w:style>
  <w:style w:type="paragraph" w:styleId="ListNumber3">
    <w:name w:val="List Number 3"/>
    <w:basedOn w:val="List3"/>
    <w:rsid w:val="00E1684D"/>
    <w:pPr>
      <w:numPr>
        <w:numId w:val="5"/>
      </w:numPr>
    </w:pPr>
  </w:style>
  <w:style w:type="paragraph" w:styleId="ListNumber4">
    <w:name w:val="List Number 4"/>
    <w:basedOn w:val="List4"/>
    <w:rsid w:val="00E1684D"/>
    <w:pPr>
      <w:numPr>
        <w:numId w:val="6"/>
      </w:numPr>
    </w:pPr>
  </w:style>
  <w:style w:type="paragraph" w:styleId="ListNumber5">
    <w:name w:val="List Number 5"/>
    <w:basedOn w:val="List5"/>
    <w:rsid w:val="00E1684D"/>
    <w:pPr>
      <w:numPr>
        <w:numId w:val="7"/>
      </w:numPr>
    </w:pPr>
  </w:style>
  <w:style w:type="paragraph" w:styleId="BlockText">
    <w:name w:val="Block Text"/>
    <w:basedOn w:val="Normal"/>
    <w:rsid w:val="00E16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84D"/>
    <w:rPr>
      <w:sz w:val="16"/>
      <w:vertAlign w:val="superscript"/>
    </w:rPr>
  </w:style>
  <w:style w:type="character" w:customStyle="1" w:styleId="Symbols">
    <w:name w:val="Symbols"/>
    <w:basedOn w:val="DefaultParagraphFont"/>
    <w:rsid w:val="00E1684D"/>
    <w:rPr>
      <w:rFonts w:ascii="Symbol" w:hAnsi="Symbol"/>
    </w:rPr>
  </w:style>
  <w:style w:type="character" w:customStyle="1" w:styleId="MenuOptions">
    <w:name w:val="Menu Options"/>
    <w:basedOn w:val="DefaultParagraphFont"/>
    <w:rsid w:val="00E16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84D"/>
    <w:rPr>
      <w:b/>
    </w:rPr>
  </w:style>
  <w:style w:type="character" w:customStyle="1" w:styleId="Underlined">
    <w:name w:val="Underlined"/>
    <w:basedOn w:val="DefaultParagraphFont"/>
    <w:rsid w:val="00E1684D"/>
    <w:rPr>
      <w:u w:val="single"/>
    </w:rPr>
  </w:style>
  <w:style w:type="paragraph" w:customStyle="1" w:styleId="TableBodyTextRight">
    <w:name w:val="Table Body Text Right"/>
    <w:basedOn w:val="TableBodyText"/>
    <w:rsid w:val="00E16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84D"/>
    <w:rPr>
      <w:sz w:val="18"/>
    </w:rPr>
  </w:style>
  <w:style w:type="paragraph" w:customStyle="1" w:styleId="BodySmallRight">
    <w:name w:val="Body Small Right"/>
    <w:basedOn w:val="BodyTextRight"/>
    <w:rsid w:val="00E1684D"/>
    <w:rPr>
      <w:sz w:val="18"/>
      <w:szCs w:val="18"/>
    </w:rPr>
  </w:style>
  <w:style w:type="paragraph" w:customStyle="1" w:styleId="MarginEdition">
    <w:name w:val="Margin Edition"/>
    <w:basedOn w:val="MarginNote"/>
    <w:rsid w:val="00E16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84D"/>
    <w:rPr>
      <w:sz w:val="2"/>
      <w:szCs w:val="2"/>
    </w:rPr>
  </w:style>
  <w:style w:type="character" w:customStyle="1" w:styleId="Small">
    <w:name w:val="Small"/>
    <w:basedOn w:val="DefaultParagraphFont"/>
    <w:rsid w:val="00E1684D"/>
    <w:rPr>
      <w:sz w:val="16"/>
    </w:rPr>
  </w:style>
  <w:style w:type="paragraph" w:customStyle="1" w:styleId="WideTable">
    <w:name w:val="Wide Table"/>
    <w:basedOn w:val="Normal"/>
    <w:rsid w:val="00E16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84D"/>
  </w:style>
  <w:style w:type="paragraph" w:styleId="Quote">
    <w:name w:val="Quote"/>
    <w:basedOn w:val="Heading1"/>
    <w:link w:val="QuoteChar"/>
    <w:qFormat/>
    <w:rsid w:val="00E16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84D"/>
    <w:pPr>
      <w:pageBreakBefore/>
    </w:pPr>
  </w:style>
  <w:style w:type="paragraph" w:customStyle="1" w:styleId="Border">
    <w:name w:val="Border"/>
    <w:basedOn w:val="Normal"/>
    <w:qFormat/>
    <w:rsid w:val="00E16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84D"/>
    <w:rPr>
      <w:u w:val="single"/>
    </w:rPr>
  </w:style>
  <w:style w:type="character" w:customStyle="1" w:styleId="BoldandItalics">
    <w:name w:val="Bold and Italics"/>
    <w:qFormat/>
    <w:rsid w:val="00E1684D"/>
    <w:rPr>
      <w:b/>
      <w:i/>
      <w:u w:val="none"/>
    </w:rPr>
  </w:style>
  <w:style w:type="paragraph" w:styleId="BalloonText">
    <w:name w:val="Balloon Text"/>
    <w:basedOn w:val="Normal"/>
    <w:link w:val="BalloonTextChar"/>
    <w:rsid w:val="00E16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84D"/>
    <w:pPr>
      <w:spacing w:before="0" w:after="0"/>
    </w:pPr>
  </w:style>
  <w:style w:type="paragraph" w:customStyle="1" w:styleId="BodyTextBold">
    <w:name w:val="Body Text Bold"/>
    <w:basedOn w:val="BodyText"/>
    <w:qFormat/>
    <w:rsid w:val="00E1684D"/>
    <w:rPr>
      <w:b/>
    </w:rPr>
  </w:style>
  <w:style w:type="character" w:styleId="Hyperlink">
    <w:name w:val="Hyperlink"/>
    <w:basedOn w:val="DefaultParagraphFont"/>
    <w:uiPriority w:val="99"/>
    <w:unhideWhenUsed/>
    <w:rsid w:val="00EB0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848</Words>
  <Characters>5450</Characters>
  <Application>Microsoft Office Word</Application>
  <DocSecurity>0</DocSecurity>
  <Lines>187</Lines>
  <Paragraphs>110</Paragraphs>
  <ScaleCrop>false</ScaleCrop>
  <Company>Author-it Software Corporation Ltd.</Company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CPCCOM1016 Identify requirements for safe precast and tilt-up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2025-03-01T13:54:00Z</dcterms:modified>
</cp:coreProperties>
</file>