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723B" w:rsidP="00D872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CPCCOM1016 Identify requirements for safe precast and tilt-up work</w:t>
      </w:r>
      <w:r>
        <w:fldChar w:fldCharType="end"/>
      </w:r>
    </w:p>
    <w:p w:rsidR="00D8723B" w:rsidP="00D8723B">
      <w:pPr>
        <w:pStyle w:val="Version"/>
        <w:sectPr w:rsidSect="001819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19B5" w:rsidP="001819B5">
      <w:pPr>
        <w:pStyle w:val="SuperHeading"/>
      </w:pPr>
      <w:r w:rsidRPr="001819B5">
        <w:t>Assessment Requirements for CPCCOM1016 Identify requirements for safe precast and tilt-up work</w:t>
      </w:r>
    </w:p>
    <w:p w:rsidR="00000000" w:rsidRPr="001819B5" w:rsidP="001819B5">
      <w:pPr>
        <w:pStyle w:val="Heading1"/>
      </w:pPr>
      <w:bookmarkStart w:id="1" w:name="O_1293688"/>
      <w:bookmarkEnd w:id="1"/>
      <w:r w:rsidRPr="001819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2"/>
        <w:gridCol w:w="7366"/>
      </w:tblGrid>
      <w:tr w:rsidTr="00181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B5">
            <w:pPr>
              <w:pStyle w:val="BodyText"/>
              <w:rPr>
                <w:lang w:val="en-NZ"/>
              </w:rPr>
            </w:pPr>
            <w:r w:rsidRPr="001819B5">
              <w:t>Release 2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B5">
            <w:pPr>
              <w:pStyle w:val="BodyText"/>
              <w:rPr>
                <w:lang w:val="en-NZ"/>
              </w:rPr>
            </w:pPr>
            <w:r w:rsidRPr="001819B5">
              <w:t>Updated reference to general construction induction training program.</w:t>
            </w:r>
          </w:p>
        </w:tc>
      </w:tr>
      <w:tr w:rsidTr="001819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9B5">
            <w:pPr>
              <w:pStyle w:val="BodyText"/>
              <w:rPr>
                <w:lang w:val="en-NZ"/>
              </w:rPr>
            </w:pPr>
            <w:r w:rsidRPr="001819B5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9B5" w:rsidP="001819B5">
            <w:pPr>
              <w:pStyle w:val="BodyText"/>
            </w:pPr>
            <w:r w:rsidRPr="001819B5">
              <w:t>This version first released with CPC Construction, Plumbing and Services Training Package Release 5.0.</w:t>
            </w:r>
          </w:p>
          <w:p w:rsidR="00000000" w:rsidRPr="001819B5" w:rsidP="001819B5">
            <w:pPr>
              <w:pStyle w:val="BodyText"/>
            </w:pPr>
            <w:r w:rsidRPr="001819B5">
              <w:t>Supersedes but is not equivalent to CPCCCM1016 Identify requirements for safe tilt-up work.</w:t>
            </w:r>
          </w:p>
        </w:tc>
      </w:tr>
    </w:tbl>
    <w:p w:rsidR="00000000" w:rsidRPr="001819B5" w:rsidP="001819B5">
      <w:pPr>
        <w:pStyle w:val="BodyText"/>
      </w:pPr>
    </w:p>
    <w:p w:rsidR="00000000" w:rsidRPr="001819B5" w:rsidP="001819B5">
      <w:pPr>
        <w:pStyle w:val="AllowPageBreak"/>
      </w:pPr>
    </w:p>
    <w:p w:rsidR="00000000" w:rsidRPr="001819B5" w:rsidP="001819B5">
      <w:pPr>
        <w:pStyle w:val="Heading1"/>
      </w:pPr>
      <w:bookmarkStart w:id="2" w:name="O_1293687"/>
      <w:bookmarkEnd w:id="2"/>
      <w:r w:rsidRPr="001819B5">
        <w:t>Performance Evidence</w:t>
      </w:r>
    </w:p>
    <w:p w:rsidR="00000000" w:rsidRPr="001819B5" w:rsidP="00D8723B">
      <w:pPr>
        <w:pStyle w:val="BodyText"/>
      </w:pPr>
      <w:r w:rsidRPr="001819B5">
        <w:t>To demonstrate comp</w:t>
      </w:r>
      <w:r w:rsidRPr="001819B5">
        <w:t>etency, a candidate must meet the elements and performance criteria of this unit by identifying requirements for safe precast or tilt-up work at one workplace where the precast or tilt-up construction process is used.</w:t>
      </w:r>
    </w:p>
    <w:p w:rsidR="00000000" w:rsidRPr="001819B5" w:rsidP="001819B5">
      <w:pPr>
        <w:pStyle w:val="Heading1"/>
      </w:pPr>
      <w:bookmarkStart w:id="3" w:name="O_1293686"/>
      <w:bookmarkEnd w:id="3"/>
      <w:r w:rsidRPr="001819B5">
        <w:t>Knowledge Evidence</w:t>
      </w:r>
    </w:p>
    <w:p w:rsidR="00000000" w:rsidRPr="001819B5" w:rsidP="00D8723B">
      <w:pPr>
        <w:pStyle w:val="BodyText"/>
      </w:pPr>
      <w:r w:rsidRPr="001819B5">
        <w:t>To be competent in this unit, a candidate must demonstrate knowledge of:</w:t>
      </w:r>
    </w:p>
    <w:p w:rsidR="00000000" w:rsidRPr="001819B5" w:rsidP="001819B5">
      <w:pPr>
        <w:pStyle w:val="ListBullet"/>
      </w:pPr>
      <w:r w:rsidRPr="001819B5">
        <w:t>basic principles of risk management relevant to precast and tilt-up construction</w:t>
      </w:r>
    </w:p>
    <w:p w:rsidR="00000000" w:rsidRPr="001819B5" w:rsidP="001819B5">
      <w:pPr>
        <w:pStyle w:val="ListBullet"/>
      </w:pPr>
      <w:r w:rsidRPr="001819B5">
        <w:t>general safety requirements for equipment and tools used in precast and tilt-up construction:</w:t>
      </w:r>
    </w:p>
    <w:p w:rsidR="00000000" w:rsidRPr="001819B5" w:rsidP="001819B5">
      <w:pPr>
        <w:pStyle w:val="ListBullet2"/>
      </w:pPr>
      <w:r w:rsidRPr="001819B5">
        <w:t>cranes</w:t>
      </w:r>
    </w:p>
    <w:p w:rsidR="00000000" w:rsidRPr="001819B5" w:rsidP="001819B5">
      <w:pPr>
        <w:pStyle w:val="ListBullet2"/>
      </w:pPr>
      <w:r w:rsidRPr="001819B5">
        <w:t>elevated work platforms</w:t>
      </w:r>
    </w:p>
    <w:p w:rsidR="00000000" w:rsidRPr="001819B5" w:rsidP="001819B5">
      <w:pPr>
        <w:pStyle w:val="ListBullet2"/>
      </w:pPr>
      <w:r w:rsidRPr="001819B5">
        <w:t>manual tools</w:t>
      </w:r>
    </w:p>
    <w:p w:rsidR="00000000" w:rsidRPr="001819B5" w:rsidP="001819B5">
      <w:pPr>
        <w:pStyle w:val="ListBullet2"/>
      </w:pPr>
      <w:r w:rsidRPr="001819B5">
        <w:t>mobile scaffolding</w:t>
      </w:r>
    </w:p>
    <w:p w:rsidR="00000000" w:rsidRPr="001819B5" w:rsidP="001819B5">
      <w:pPr>
        <w:pStyle w:val="ListBullet2"/>
      </w:pPr>
      <w:r w:rsidRPr="001819B5">
        <w:t>portable electric and pneumatic tools</w:t>
      </w:r>
    </w:p>
    <w:p w:rsidR="00000000" w:rsidRPr="001819B5" w:rsidP="001819B5">
      <w:pPr>
        <w:pStyle w:val="ListBullet2"/>
      </w:pPr>
      <w:r w:rsidRPr="001819B5">
        <w:t>braces and props</w:t>
      </w:r>
    </w:p>
    <w:p w:rsidR="00000000" w:rsidRPr="001819B5" w:rsidP="001819B5">
      <w:pPr>
        <w:pStyle w:val="ListBullet2"/>
      </w:pPr>
      <w:r w:rsidRPr="001819B5">
        <w:t>rigging equipment and gear</w:t>
      </w:r>
    </w:p>
    <w:p w:rsidR="00000000" w:rsidRPr="001819B5" w:rsidP="001819B5">
      <w:pPr>
        <w:pStyle w:val="ListBullet2"/>
      </w:pPr>
      <w:r w:rsidRPr="001819B5">
        <w:t>safety net and static lines</w:t>
      </w:r>
    </w:p>
    <w:p w:rsidR="00000000" w:rsidRPr="001819B5" w:rsidP="001819B5">
      <w:pPr>
        <w:pStyle w:val="ListBullet"/>
      </w:pPr>
      <w:r w:rsidRPr="001819B5">
        <w:t>work health and safety and regulatory requirements relevant to the precast and tilt-up c</w:t>
      </w:r>
      <w:r w:rsidRPr="001819B5">
        <w:t>onstruction process:</w:t>
      </w:r>
    </w:p>
    <w:p w:rsidR="00000000" w:rsidRPr="001819B5" w:rsidP="001819B5">
      <w:pPr>
        <w:pStyle w:val="ListBullet2"/>
      </w:pPr>
      <w:r w:rsidRPr="001819B5">
        <w:t xml:space="preserve">Australian Standard (AS) 3850 </w:t>
      </w:r>
      <w:r w:rsidRPr="001819B5">
        <w:rPr>
          <w:rStyle w:val="Emphasis"/>
        </w:rPr>
        <w:t>Prefabricated concrete elements</w:t>
      </w:r>
    </w:p>
    <w:p w:rsidR="00000000" w:rsidRPr="001819B5" w:rsidP="001819B5">
      <w:pPr>
        <w:pStyle w:val="ListBullet2"/>
      </w:pPr>
      <w:r w:rsidRPr="001819B5">
        <w:t>duty holder responsibilities</w:t>
      </w:r>
    </w:p>
    <w:p w:rsidR="00000000" w:rsidRPr="001819B5" w:rsidP="001819B5">
      <w:pPr>
        <w:pStyle w:val="ListBullet2"/>
      </w:pPr>
      <w:r w:rsidRPr="001819B5">
        <w:t>emergency procedures</w:t>
      </w:r>
    </w:p>
    <w:p w:rsidR="00000000" w:rsidRPr="001819B5" w:rsidP="001819B5">
      <w:pPr>
        <w:pStyle w:val="ListBullet2"/>
      </w:pPr>
      <w:r w:rsidRPr="001819B5">
        <w:t xml:space="preserve">job safety analyses </w:t>
      </w:r>
    </w:p>
    <w:p w:rsidR="00000000" w:rsidRPr="001819B5" w:rsidP="001819B5">
      <w:pPr>
        <w:pStyle w:val="ListBullet2"/>
      </w:pPr>
      <w:r w:rsidRPr="001819B5">
        <w:t>personal protective equipment</w:t>
      </w:r>
    </w:p>
    <w:p w:rsidR="00000000" w:rsidRPr="001819B5" w:rsidP="001819B5">
      <w:pPr>
        <w:pStyle w:val="ListBullet2"/>
      </w:pPr>
      <w:r w:rsidRPr="001819B5">
        <w:t>safe work method statements</w:t>
      </w:r>
    </w:p>
    <w:p w:rsidR="00000000" w:rsidRPr="001819B5" w:rsidP="001819B5">
      <w:pPr>
        <w:pStyle w:val="ListBullet2"/>
      </w:pPr>
      <w:r w:rsidRPr="001819B5">
        <w:t>work plans and/or work health and safety management plans</w:t>
      </w:r>
    </w:p>
    <w:p w:rsidR="00000000" w:rsidRPr="001819B5" w:rsidP="001819B5">
      <w:pPr>
        <w:pStyle w:val="ListBullet2"/>
      </w:pPr>
      <w:r w:rsidRPr="001819B5">
        <w:t>working around mobile plant and machinery, and general site hazards</w:t>
      </w:r>
    </w:p>
    <w:p w:rsidR="00000000" w:rsidRPr="001819B5" w:rsidP="001819B5">
      <w:pPr>
        <w:pStyle w:val="ListBullet"/>
      </w:pPr>
      <w:r w:rsidRPr="001819B5">
        <w:t>stages of the precast and tilt-up construction processes and their interrelationships:</w:t>
      </w:r>
    </w:p>
    <w:p w:rsidR="00000000" w:rsidRPr="001819B5" w:rsidP="001819B5">
      <w:pPr>
        <w:pStyle w:val="ListBullet2"/>
      </w:pPr>
      <w:r w:rsidRPr="001819B5">
        <w:t>design and manufacture</w:t>
      </w:r>
    </w:p>
    <w:p w:rsidR="00000000" w:rsidRPr="001819B5" w:rsidP="001819B5">
      <w:pPr>
        <w:pStyle w:val="ListBullet2"/>
      </w:pPr>
      <w:r w:rsidRPr="001819B5">
        <w:t xml:space="preserve">handling, storage </w:t>
      </w:r>
      <w:r w:rsidRPr="001819B5">
        <w:t>and transportation</w:t>
      </w:r>
    </w:p>
    <w:p w:rsidR="00000000" w:rsidRPr="001819B5" w:rsidP="001819B5">
      <w:pPr>
        <w:pStyle w:val="ListBullet2"/>
      </w:pPr>
      <w:r w:rsidRPr="001819B5">
        <w:t>cranage and erection</w:t>
      </w:r>
    </w:p>
    <w:p w:rsidR="00000000" w:rsidRPr="001819B5" w:rsidP="001819B5">
      <w:pPr>
        <w:pStyle w:val="ListBullet2"/>
      </w:pPr>
      <w:r w:rsidRPr="001819B5">
        <w:t>temporary bracing, stabilisation and incorporation of concrete panels</w:t>
      </w:r>
    </w:p>
    <w:p w:rsidR="00000000" w:rsidRPr="001819B5" w:rsidP="001819B5">
      <w:pPr>
        <w:pStyle w:val="ListBullet2"/>
      </w:pPr>
      <w:r w:rsidRPr="001819B5">
        <w:t>demolition</w:t>
      </w:r>
    </w:p>
    <w:p w:rsidR="00000000" w:rsidRPr="001819B5" w:rsidP="001819B5">
      <w:pPr>
        <w:pStyle w:val="ListBullet"/>
      </w:pPr>
      <w:r w:rsidRPr="001819B5">
        <w:t>typical faults, problems and hazards that may occur when design and safety requirements are not met in the precast and tilt-up constru</w:t>
      </w:r>
      <w:r w:rsidRPr="001819B5">
        <w:t>ction process.</w:t>
      </w:r>
    </w:p>
    <w:p w:rsidR="00000000" w:rsidRPr="001819B5" w:rsidP="001819B5">
      <w:pPr>
        <w:pStyle w:val="AllowPageBreak"/>
      </w:pPr>
    </w:p>
    <w:p w:rsidR="00000000" w:rsidRPr="001819B5" w:rsidP="001819B5">
      <w:pPr>
        <w:pStyle w:val="Heading1"/>
      </w:pPr>
      <w:bookmarkStart w:id="4" w:name="O_1293685"/>
      <w:bookmarkEnd w:id="4"/>
      <w:r w:rsidRPr="001819B5">
        <w:t>Assessment Conditions</w:t>
      </w:r>
    </w:p>
    <w:p w:rsidR="00000000" w:rsidRPr="001819B5" w:rsidP="00D8723B">
      <w:pPr>
        <w:pStyle w:val="BodyText"/>
      </w:pPr>
      <w:r w:rsidRPr="001819B5">
        <w:t xml:space="preserve">Assessors must meet the requirements for assessors contained in the Standards for Registered Training Organisations. </w:t>
      </w:r>
    </w:p>
    <w:p w:rsidR="00000000" w:rsidRPr="001819B5" w:rsidP="00D8723B">
      <w:pPr>
        <w:pStyle w:val="BodyText"/>
      </w:pPr>
      <w:r w:rsidRPr="001819B5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1819B5" w:rsidP="00D8723B">
      <w:pPr>
        <w:pStyle w:val="BodyText"/>
      </w:pPr>
      <w:r w:rsidRPr="001819B5">
        <w:t xml:space="preserve">Candidates must have access to full documentation </w:t>
      </w:r>
      <w:r w:rsidRPr="001819B5">
        <w:t>relating to jurisdictional requirements for safe precast and tilt-up work.</w:t>
      </w:r>
    </w:p>
    <w:p w:rsidR="00000000" w:rsidRPr="001819B5" w:rsidP="001819B5">
      <w:pPr>
        <w:pStyle w:val="Heading1"/>
      </w:pPr>
      <w:bookmarkStart w:id="5" w:name="O_1293698"/>
      <w:bookmarkEnd w:id="5"/>
      <w:r w:rsidRPr="001819B5">
        <w:t>Links</w:t>
      </w:r>
    </w:p>
    <w:p w:rsidR="00000000" w:rsidRPr="001819B5" w:rsidP="00D8723B">
      <w:pPr>
        <w:pStyle w:val="BodyText"/>
      </w:pPr>
      <w:r w:rsidRPr="001819B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51B7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819B5" w:rsidP="001819B5"/>
    <w:sectPr w:rsidSect="001819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B5" w:rsidRPr="00D8723B" w:rsidP="00D872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23B" w:rsidP="001819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723B" w:rsidP="001819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8723B" w:rsidP="001819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2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9B5" w:rsidRPr="00D8723B" w:rsidP="00D872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9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23B" w:rsidRPr="002D2AF8" w:rsidP="001819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CPCCOM1016 Identify requirements for safe precast and tilt-up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8723B" w:rsidP="001819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52D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840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049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9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9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9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9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9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9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9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9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9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9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9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9B5"/>
  </w:style>
  <w:style w:type="character" w:customStyle="1" w:styleId="Heading1Char">
    <w:name w:val="Heading 1 Char"/>
    <w:basedOn w:val="DefaultParagraphFont"/>
    <w:link w:val="Heading1"/>
    <w:rsid w:val="001819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9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9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9B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19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19B5"/>
    <w:rPr>
      <w:i/>
    </w:rPr>
  </w:style>
  <w:style w:type="paragraph" w:customStyle="1" w:styleId="SuperHeading">
    <w:name w:val="SuperHeading"/>
    <w:basedOn w:val="Normal"/>
    <w:rsid w:val="001819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9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9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9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9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9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9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9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9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9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9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9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9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9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9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9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9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9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9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9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9B5"/>
    <w:rPr>
      <w:b/>
      <w:spacing w:val="0"/>
    </w:rPr>
  </w:style>
  <w:style w:type="paragraph" w:customStyle="1" w:styleId="SuperTitle">
    <w:name w:val="SuperTitle"/>
    <w:basedOn w:val="Title"/>
    <w:rsid w:val="001819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9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9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9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9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9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9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9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9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9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9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9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9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9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9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9B5"/>
  </w:style>
  <w:style w:type="paragraph" w:styleId="TableofFigures">
    <w:name w:val="table of figures"/>
    <w:basedOn w:val="Normal"/>
    <w:next w:val="Normal"/>
    <w:semiHidden/>
    <w:rsid w:val="001819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9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19B5"/>
    <w:rPr>
      <w:rFonts w:ascii="Wingdings" w:hAnsi="Wingdings"/>
    </w:rPr>
  </w:style>
  <w:style w:type="paragraph" w:customStyle="1" w:styleId="TableHeading">
    <w:name w:val="Table Heading"/>
    <w:basedOn w:val="HeadingBase"/>
    <w:rsid w:val="001819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9B5"/>
    <w:rPr>
      <w:color w:val="0033CC"/>
      <w:u w:val="none"/>
    </w:rPr>
  </w:style>
  <w:style w:type="paragraph" w:customStyle="1" w:styleId="BodyTextRight">
    <w:name w:val="Body Text Right"/>
    <w:basedOn w:val="BodyText"/>
    <w:rsid w:val="001819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9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9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9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9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9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9B5"/>
    <w:rPr>
      <w:sz w:val="32"/>
    </w:rPr>
  </w:style>
  <w:style w:type="paragraph" w:customStyle="1" w:styleId="HeadingProcedure">
    <w:name w:val="Heading Procedure"/>
    <w:basedOn w:val="HeadingBase"/>
    <w:next w:val="Normal"/>
    <w:rsid w:val="001819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9B5"/>
    <w:pPr>
      <w:spacing w:before="60" w:after="60"/>
    </w:pPr>
  </w:style>
  <w:style w:type="paragraph" w:styleId="ListContinue">
    <w:name w:val="List Continue"/>
    <w:basedOn w:val="List"/>
    <w:rsid w:val="001819B5"/>
    <w:pPr>
      <w:ind w:firstLine="0"/>
    </w:pPr>
  </w:style>
  <w:style w:type="paragraph" w:customStyle="1" w:styleId="ListNote">
    <w:name w:val="List Note"/>
    <w:basedOn w:val="List"/>
    <w:rsid w:val="001819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9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9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9B5"/>
    <w:rPr>
      <w:rFonts w:ascii="Courier New" w:hAnsi="Courier New"/>
    </w:rPr>
  </w:style>
  <w:style w:type="paragraph" w:customStyle="1" w:styleId="NoteBullet">
    <w:name w:val="Note Bullet"/>
    <w:basedOn w:val="Note"/>
    <w:rsid w:val="001819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9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9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9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9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9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9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9B5"/>
    <w:rPr>
      <w:b/>
      <w:smallCaps/>
    </w:rPr>
  </w:style>
  <w:style w:type="paragraph" w:customStyle="1" w:styleId="TableListNumber">
    <w:name w:val="Table List Number"/>
    <w:basedOn w:val="ListNumber"/>
    <w:rsid w:val="001819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9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9B5"/>
    <w:pPr>
      <w:numPr>
        <w:numId w:val="9"/>
      </w:numPr>
    </w:pPr>
  </w:style>
  <w:style w:type="paragraph" w:customStyle="1" w:styleId="ListAlpha2">
    <w:name w:val="List Alpha 2"/>
    <w:basedOn w:val="List2"/>
    <w:rsid w:val="001819B5"/>
    <w:pPr>
      <w:numPr>
        <w:numId w:val="8"/>
      </w:numPr>
    </w:pPr>
  </w:style>
  <w:style w:type="paragraph" w:styleId="List2">
    <w:name w:val="List 2"/>
    <w:basedOn w:val="BodyText"/>
    <w:rsid w:val="001819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9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9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9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9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9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9B5"/>
    <w:pPr>
      <w:numPr>
        <w:numId w:val="4"/>
      </w:numPr>
    </w:pPr>
  </w:style>
  <w:style w:type="paragraph" w:styleId="ListContinue2">
    <w:name w:val="List Continue 2"/>
    <w:basedOn w:val="List2"/>
    <w:rsid w:val="001819B5"/>
    <w:pPr>
      <w:ind w:firstLine="0"/>
    </w:pPr>
  </w:style>
  <w:style w:type="paragraph" w:styleId="ListContinue3">
    <w:name w:val="List Continue 3"/>
    <w:basedOn w:val="List3"/>
    <w:rsid w:val="001819B5"/>
    <w:pPr>
      <w:ind w:left="1021" w:firstLine="0"/>
    </w:pPr>
  </w:style>
  <w:style w:type="paragraph" w:styleId="ListContinue4">
    <w:name w:val="List Continue 4"/>
    <w:basedOn w:val="List4"/>
    <w:rsid w:val="001819B5"/>
    <w:pPr>
      <w:ind w:firstLine="0"/>
    </w:pPr>
  </w:style>
  <w:style w:type="paragraph" w:styleId="ListContinue5">
    <w:name w:val="List Continue 5"/>
    <w:basedOn w:val="List5"/>
    <w:rsid w:val="001819B5"/>
    <w:pPr>
      <w:ind w:firstLine="0"/>
    </w:pPr>
  </w:style>
  <w:style w:type="paragraph" w:styleId="ListNumber3">
    <w:name w:val="List Number 3"/>
    <w:basedOn w:val="List3"/>
    <w:rsid w:val="001819B5"/>
    <w:pPr>
      <w:numPr>
        <w:numId w:val="5"/>
      </w:numPr>
    </w:pPr>
  </w:style>
  <w:style w:type="paragraph" w:styleId="ListNumber4">
    <w:name w:val="List Number 4"/>
    <w:basedOn w:val="List4"/>
    <w:rsid w:val="001819B5"/>
    <w:pPr>
      <w:numPr>
        <w:numId w:val="6"/>
      </w:numPr>
    </w:pPr>
  </w:style>
  <w:style w:type="paragraph" w:styleId="ListNumber5">
    <w:name w:val="List Number 5"/>
    <w:basedOn w:val="List5"/>
    <w:rsid w:val="001819B5"/>
    <w:pPr>
      <w:numPr>
        <w:numId w:val="7"/>
      </w:numPr>
    </w:pPr>
  </w:style>
  <w:style w:type="paragraph" w:styleId="BlockText">
    <w:name w:val="Block Text"/>
    <w:basedOn w:val="Normal"/>
    <w:rsid w:val="001819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9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9B5"/>
    <w:rPr>
      <w:sz w:val="16"/>
      <w:vertAlign w:val="superscript"/>
    </w:rPr>
  </w:style>
  <w:style w:type="character" w:customStyle="1" w:styleId="Symbols">
    <w:name w:val="Symbols"/>
    <w:basedOn w:val="DefaultParagraphFont"/>
    <w:rsid w:val="001819B5"/>
    <w:rPr>
      <w:rFonts w:ascii="Symbol" w:hAnsi="Symbol"/>
    </w:rPr>
  </w:style>
  <w:style w:type="character" w:customStyle="1" w:styleId="MenuOptions">
    <w:name w:val="Menu Options"/>
    <w:basedOn w:val="DefaultParagraphFont"/>
    <w:rsid w:val="001819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9B5"/>
    <w:rPr>
      <w:b/>
    </w:rPr>
  </w:style>
  <w:style w:type="character" w:customStyle="1" w:styleId="Underlined">
    <w:name w:val="Underlined"/>
    <w:basedOn w:val="DefaultParagraphFont"/>
    <w:rsid w:val="001819B5"/>
    <w:rPr>
      <w:u w:val="single"/>
    </w:rPr>
  </w:style>
  <w:style w:type="paragraph" w:customStyle="1" w:styleId="TableBodyTextRight">
    <w:name w:val="Table Body Text Right"/>
    <w:basedOn w:val="TableBodyText"/>
    <w:rsid w:val="001819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9B5"/>
    <w:rPr>
      <w:sz w:val="18"/>
    </w:rPr>
  </w:style>
  <w:style w:type="paragraph" w:customStyle="1" w:styleId="BodySmallRight">
    <w:name w:val="Body Small Right"/>
    <w:basedOn w:val="BodyTextRight"/>
    <w:rsid w:val="001819B5"/>
    <w:rPr>
      <w:sz w:val="18"/>
      <w:szCs w:val="18"/>
    </w:rPr>
  </w:style>
  <w:style w:type="paragraph" w:customStyle="1" w:styleId="MarginEdition">
    <w:name w:val="Margin Edition"/>
    <w:basedOn w:val="MarginNote"/>
    <w:rsid w:val="001819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9B5"/>
    <w:rPr>
      <w:sz w:val="2"/>
      <w:szCs w:val="2"/>
    </w:rPr>
  </w:style>
  <w:style w:type="character" w:customStyle="1" w:styleId="Small">
    <w:name w:val="Small"/>
    <w:basedOn w:val="DefaultParagraphFont"/>
    <w:rsid w:val="001819B5"/>
    <w:rPr>
      <w:sz w:val="16"/>
    </w:rPr>
  </w:style>
  <w:style w:type="paragraph" w:customStyle="1" w:styleId="WideTable">
    <w:name w:val="Wide Table"/>
    <w:basedOn w:val="Normal"/>
    <w:rsid w:val="001819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9B5"/>
  </w:style>
  <w:style w:type="paragraph" w:styleId="Quote">
    <w:name w:val="Quote"/>
    <w:basedOn w:val="Heading1"/>
    <w:link w:val="QuoteChar"/>
    <w:qFormat/>
    <w:rsid w:val="001819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9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9B5"/>
    <w:pPr>
      <w:pageBreakBefore/>
    </w:pPr>
  </w:style>
  <w:style w:type="paragraph" w:customStyle="1" w:styleId="Border">
    <w:name w:val="Border"/>
    <w:basedOn w:val="Normal"/>
    <w:qFormat/>
    <w:rsid w:val="001819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9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9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9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9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9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9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9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9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9B5"/>
    <w:rPr>
      <w:u w:val="single"/>
    </w:rPr>
  </w:style>
  <w:style w:type="character" w:customStyle="1" w:styleId="BoldandItalics">
    <w:name w:val="Bold and Italics"/>
    <w:qFormat/>
    <w:rsid w:val="001819B5"/>
    <w:rPr>
      <w:b/>
      <w:i/>
      <w:u w:val="none"/>
    </w:rPr>
  </w:style>
  <w:style w:type="paragraph" w:styleId="BalloonText">
    <w:name w:val="Balloon Text"/>
    <w:basedOn w:val="Normal"/>
    <w:link w:val="BalloonTextChar"/>
    <w:rsid w:val="001819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9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9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9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9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9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9B5"/>
    <w:pPr>
      <w:spacing w:before="0" w:after="0"/>
    </w:pPr>
  </w:style>
  <w:style w:type="paragraph" w:customStyle="1" w:styleId="BodyTextBold">
    <w:name w:val="Body Text Bold"/>
    <w:basedOn w:val="BodyText"/>
    <w:qFormat/>
    <w:rsid w:val="001819B5"/>
    <w:rPr>
      <w:b/>
    </w:rPr>
  </w:style>
  <w:style w:type="character" w:styleId="Hyperlink">
    <w:name w:val="Hyperlink"/>
    <w:basedOn w:val="DefaultParagraphFont"/>
    <w:uiPriority w:val="99"/>
    <w:unhideWhenUsed/>
    <w:rsid w:val="00D872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2480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CPCCOM1016 Identify requirements for safe precast and tilt-up 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