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B7D" w:rsidP="00767B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CPCCOM1015 Carry out measurements and calculations</w:t>
      </w:r>
      <w:r>
        <w:fldChar w:fldCharType="end"/>
      </w:r>
    </w:p>
    <w:p w:rsidR="00767B7D" w:rsidP="00767B7D">
      <w:pPr>
        <w:pStyle w:val="Version"/>
        <w:sectPr w:rsidSect="004D0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D02E6" w:rsidP="004D02E6">
      <w:pPr>
        <w:pStyle w:val="SuperHeading"/>
      </w:pPr>
      <w:r w:rsidRPr="004D02E6">
        <w:t>CPCCOM1015 Carry out measurements and calculations</w:t>
      </w:r>
    </w:p>
    <w:p w:rsidR="00000000" w:rsidRPr="004D02E6" w:rsidP="004D02E6">
      <w:pPr>
        <w:pStyle w:val="Heading1"/>
      </w:pPr>
      <w:bookmarkStart w:id="1" w:name="O_1293712"/>
      <w:bookmarkEnd w:id="1"/>
      <w:r w:rsidRPr="004D0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Updated reference to general construction induction training program.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2E6" w:rsidP="004D02E6">
            <w:pPr>
              <w:pStyle w:val="BodyText"/>
            </w:pPr>
            <w:r w:rsidRPr="004D02E6">
              <w:t>This version first released with CPC Construction, Plumbing and Services Training Package Release 5.1.</w:t>
            </w:r>
          </w:p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Rectified to reflect endorsed ve</w:t>
            </w:r>
            <w:r w:rsidRPr="004D02E6">
              <w:t>rsion.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2E6" w:rsidP="004D02E6">
            <w:pPr>
              <w:pStyle w:val="BodyText"/>
            </w:pPr>
            <w:r w:rsidRPr="004D02E6">
              <w:t>This version first released with CPC Construction, Plumbing and Services Training Package Release 5.0.</w:t>
            </w:r>
          </w:p>
          <w:p w:rsidR="00000000" w:rsidRPr="004D02E6" w:rsidP="004D02E6">
            <w:pPr>
              <w:pStyle w:val="BodyText"/>
            </w:pPr>
            <w:r w:rsidRPr="004D02E6">
              <w:t>Supersedes and is equivalent to CPCCCM1015 Carry out measurements and calculations.  Updated to reflect current industry terminology, t</w:t>
            </w:r>
            <w:r w:rsidRPr="004D02E6">
              <w:t>ools and equipment.</w:t>
            </w:r>
          </w:p>
        </w:tc>
      </w:tr>
    </w:tbl>
    <w:p w:rsidR="00000000" w:rsidRPr="004D02E6" w:rsidP="004D02E6">
      <w:pPr>
        <w:pStyle w:val="BodyText"/>
      </w:pPr>
    </w:p>
    <w:p w:rsidR="00000000" w:rsidRPr="004D02E6" w:rsidP="004D02E6">
      <w:pPr>
        <w:pStyle w:val="AllowPageBreak"/>
      </w:pPr>
    </w:p>
    <w:p w:rsidR="00000000" w:rsidRPr="004D02E6" w:rsidP="004D02E6">
      <w:pPr>
        <w:pStyle w:val="Heading1"/>
      </w:pPr>
      <w:bookmarkStart w:id="2" w:name="O_1293711"/>
      <w:bookmarkEnd w:id="2"/>
      <w:r w:rsidRPr="004D02E6">
        <w:t>Application</w:t>
      </w:r>
    </w:p>
    <w:p w:rsidR="00000000" w:rsidRPr="004D02E6" w:rsidP="00767B7D">
      <w:pPr>
        <w:pStyle w:val="BodyText"/>
      </w:pPr>
      <w:r w:rsidRPr="004D02E6">
        <w:t>This unit of competency specifies the skills and knowledge required to undertake basic measurements and calculations to determine task and material requirements in a construction work environment.</w:t>
      </w:r>
    </w:p>
    <w:p w:rsidR="00000000" w:rsidRPr="004D02E6" w:rsidP="00767B7D">
      <w:pPr>
        <w:pStyle w:val="BodyText"/>
      </w:pPr>
      <w:r w:rsidRPr="004D02E6">
        <w:t>A pers</w:t>
      </w:r>
      <w:r w:rsidRPr="004D02E6">
        <w:t>on working at this level would be expected to complete tasks assigned to them, under supervision.</w:t>
      </w:r>
    </w:p>
    <w:p w:rsidR="00000000" w:rsidRPr="004D02E6" w:rsidP="00767B7D">
      <w:pPr>
        <w:pStyle w:val="BodyText"/>
      </w:pPr>
      <w:r w:rsidRPr="004D02E6">
        <w:t>Completion of the general construction induction training program specified by the model Code of Practice for Construction Work is required for any person who</w:t>
      </w:r>
      <w:r w:rsidRPr="004D02E6">
        <w:t xml:space="preserve"> is to carry out construction work. Achievement of </w:t>
      </w:r>
      <w:r w:rsidRPr="004D02E6">
        <w:rPr>
          <w:rStyle w:val="Emphasis"/>
        </w:rPr>
        <w:t xml:space="preserve">CPCWHS1001 </w:t>
      </w:r>
      <w:r w:rsidRPr="004D02E6">
        <w:t xml:space="preserve">Prepare to </w:t>
      </w:r>
      <w:r w:rsidRPr="004D02E6">
        <w:rPr>
          <w:rStyle w:val="Emphasis"/>
        </w:rPr>
        <w:t>work safely in the construction industry</w:t>
      </w:r>
      <w:r w:rsidRPr="004D02E6">
        <w:t xml:space="preserve"> meets this requirement.</w:t>
      </w:r>
    </w:p>
    <w:p w:rsidR="00000000" w:rsidRPr="004D02E6" w:rsidP="00767B7D">
      <w:pPr>
        <w:pStyle w:val="BodyText"/>
      </w:pPr>
      <w:r w:rsidRPr="004D02E6">
        <w:t>No licensing, legislative or certification requirements apply to this unit at the time of publication.</w:t>
      </w:r>
    </w:p>
    <w:p w:rsidR="00000000" w:rsidRPr="004D02E6" w:rsidP="004D02E6">
      <w:pPr>
        <w:pStyle w:val="Heading1"/>
      </w:pPr>
      <w:bookmarkStart w:id="3" w:name="O_1293710"/>
      <w:bookmarkEnd w:id="3"/>
      <w:r w:rsidRPr="004D02E6">
        <w:t>Pre-requisite Unit</w:t>
      </w:r>
    </w:p>
    <w:p w:rsidR="00000000" w:rsidRPr="004D02E6" w:rsidP="00767B7D">
      <w:pPr>
        <w:pStyle w:val="BodyText"/>
      </w:pPr>
      <w:r w:rsidRPr="004D02E6">
        <w:t>Nil.</w:t>
      </w:r>
    </w:p>
    <w:p w:rsidR="00000000" w:rsidRPr="004D02E6" w:rsidP="004D02E6">
      <w:pPr>
        <w:pStyle w:val="Heading1"/>
      </w:pPr>
      <w:bookmarkStart w:id="4" w:name="O_1293709"/>
      <w:bookmarkEnd w:id="4"/>
      <w:r w:rsidRPr="004D02E6">
        <w:t>Unit Sector</w:t>
      </w:r>
    </w:p>
    <w:p w:rsidR="00000000" w:rsidRPr="004D02E6" w:rsidP="00767B7D">
      <w:pPr>
        <w:pStyle w:val="BodyText"/>
      </w:pPr>
      <w:r w:rsidRPr="004D02E6">
        <w:t>Common</w:t>
      </w:r>
    </w:p>
    <w:p w:rsidR="00000000" w:rsidRPr="004D02E6" w:rsidP="004D02E6">
      <w:pPr>
        <w:pStyle w:val="Heading1"/>
      </w:pPr>
      <w:bookmarkStart w:id="5" w:name="O_1293708"/>
      <w:bookmarkEnd w:id="5"/>
      <w:r w:rsidRPr="004D02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Performance criteria describe what needs to be done to demonstrate achievement of the element.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Obtain measurements.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Select most appropriate equipment and method for obtaining the measurement.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Use a ruler or tape to obtain linear measurements accurate to 1 mm.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Perform basic calculations.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Take basic measurements and calculate quantities of materials in a construction environment, using basic formulae for each of: weight, area, volume, perimeter, circumference, ratio and percentage.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Convert measurements in metres to millimetres and me</w:t>
            </w:r>
            <w:r w:rsidRPr="004D02E6">
              <w:t>asurements in millimetres to metres.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2E6" w:rsidP="004D02E6">
            <w:pPr>
              <w:pStyle w:val="BodyText"/>
            </w:pPr>
            <w:r w:rsidRPr="004D02E6">
              <w:t>Check calculations for accuracy and record calculation workings and results.</w:t>
            </w:r>
          </w:p>
        </w:tc>
      </w:tr>
    </w:tbl>
    <w:p w:rsidR="00000000" w:rsidRPr="004D02E6" w:rsidP="004D02E6">
      <w:pPr>
        <w:pStyle w:val="BodyText"/>
      </w:pPr>
    </w:p>
    <w:p w:rsidR="00000000" w:rsidRPr="004D02E6" w:rsidP="004D02E6">
      <w:pPr>
        <w:pStyle w:val="AllowPageBreak"/>
      </w:pPr>
    </w:p>
    <w:p w:rsidR="00000000" w:rsidRPr="004D02E6" w:rsidP="004D02E6">
      <w:pPr>
        <w:pStyle w:val="Heading1"/>
      </w:pPr>
      <w:bookmarkStart w:id="6" w:name="O_1293707"/>
      <w:bookmarkEnd w:id="6"/>
      <w:r w:rsidRPr="004D02E6">
        <w:t>Foundation Skills</w:t>
      </w:r>
    </w:p>
    <w:p w:rsidR="00000000" w:rsidRPr="004D02E6" w:rsidP="00767B7D">
      <w:pPr>
        <w:pStyle w:val="BodyText"/>
      </w:pPr>
      <w:r w:rsidRPr="004D02E6">
        <w:t xml:space="preserve">Foundation skills essential to performance are explicit in the performance criteria of this unit of competency. </w:t>
      </w:r>
    </w:p>
    <w:p w:rsidR="00000000" w:rsidRPr="004D02E6" w:rsidP="004D02E6">
      <w:pPr>
        <w:pStyle w:val="Heading1"/>
      </w:pPr>
      <w:bookmarkStart w:id="7" w:name="O_1293706"/>
      <w:bookmarkEnd w:id="7"/>
      <w:r w:rsidRPr="004D02E6">
        <w:t>Unit Mapping Information</w:t>
      </w:r>
    </w:p>
    <w:p w:rsidR="00000000" w:rsidRPr="004D02E6" w:rsidP="00767B7D">
      <w:pPr>
        <w:pStyle w:val="BodyText"/>
      </w:pPr>
      <w:r w:rsidRPr="004D02E6">
        <w:t>Supersedes and is equivalent to CPCCCM1015 Carry out measurements and calculations.</w:t>
      </w:r>
    </w:p>
    <w:p w:rsidR="00000000" w:rsidRPr="004D02E6" w:rsidP="004D02E6">
      <w:pPr>
        <w:pStyle w:val="Heading1"/>
      </w:pPr>
      <w:bookmarkStart w:id="8" w:name="O_1293713"/>
      <w:bookmarkEnd w:id="8"/>
      <w:r w:rsidRPr="004D02E6">
        <w:t>Links</w:t>
      </w:r>
    </w:p>
    <w:p w:rsidR="00000000" w:rsidRPr="004D02E6" w:rsidP="00767B7D">
      <w:pPr>
        <w:pStyle w:val="BodyText"/>
      </w:pPr>
      <w:r w:rsidRPr="004D02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600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02E6" w:rsidP="00767B7D">
      <w:pPr>
        <w:pStyle w:val="BodyText"/>
        <w:sectPr w:rsidSect="004D02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02E6" w:rsidP="004D02E6">
      <w:pPr>
        <w:pStyle w:val="SuperHeading"/>
      </w:pPr>
      <w:r w:rsidRPr="004D02E6">
        <w:t>Assessment Requirements for CPCCO</w:t>
      </w:r>
      <w:r w:rsidRPr="004D02E6">
        <w:t>M1015 Carry out measurements and calculations</w:t>
      </w:r>
    </w:p>
    <w:p w:rsidR="00000000" w:rsidRPr="004D02E6" w:rsidP="004D02E6">
      <w:pPr>
        <w:pStyle w:val="Heading1"/>
      </w:pPr>
      <w:bookmarkStart w:id="9" w:name="O_1293704"/>
      <w:bookmarkEnd w:id="9"/>
      <w:r w:rsidRPr="004D0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Updated reference to general construction induction training program.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2E6" w:rsidP="004D02E6">
            <w:pPr>
              <w:pStyle w:val="BodyText"/>
            </w:pPr>
            <w:r w:rsidRPr="004D02E6">
              <w:t>This version first released with CPC Construction, Plumbing and Services Training Package Release 5.1.</w:t>
            </w:r>
          </w:p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Rectified to reflect endorsed version.</w:t>
            </w:r>
          </w:p>
        </w:tc>
      </w:tr>
      <w:tr w:rsidTr="004D0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2E6">
            <w:pPr>
              <w:pStyle w:val="BodyText"/>
              <w:rPr>
                <w:lang w:val="en-NZ"/>
              </w:rPr>
            </w:pPr>
            <w:r w:rsidRPr="004D02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2E6" w:rsidP="004D02E6">
            <w:pPr>
              <w:pStyle w:val="BodyText"/>
            </w:pPr>
            <w:r w:rsidRPr="004D02E6">
              <w:t>This version first released with CPC Construction, Plumbing and Services Training Package Release 5.0.</w:t>
            </w:r>
          </w:p>
          <w:p w:rsidR="00000000" w:rsidRPr="004D02E6" w:rsidP="004D02E6">
            <w:pPr>
              <w:pStyle w:val="BodyText"/>
            </w:pPr>
            <w:r w:rsidRPr="004D02E6">
              <w:t>Supersedes and is equivalent to CPCCCM1015 Carry out measurements and calculations.  Updated to reflect current industry terminology, tools and equipment.</w:t>
            </w:r>
          </w:p>
        </w:tc>
      </w:tr>
    </w:tbl>
    <w:p w:rsidR="00000000" w:rsidRPr="004D02E6" w:rsidP="004D02E6">
      <w:pPr>
        <w:pStyle w:val="BodyText"/>
      </w:pPr>
    </w:p>
    <w:p w:rsidR="00000000" w:rsidRPr="004D02E6" w:rsidP="004D02E6">
      <w:pPr>
        <w:pStyle w:val="AllowPageBreak"/>
      </w:pPr>
    </w:p>
    <w:p w:rsidR="00000000" w:rsidRPr="004D02E6" w:rsidP="004D02E6">
      <w:pPr>
        <w:pStyle w:val="Heading1"/>
      </w:pPr>
      <w:bookmarkStart w:id="10" w:name="O_1293703"/>
      <w:bookmarkEnd w:id="10"/>
      <w:r w:rsidRPr="004D02E6">
        <w:t>Performance Evidence</w:t>
      </w:r>
    </w:p>
    <w:p w:rsidR="00000000" w:rsidRPr="004D02E6" w:rsidP="00767B7D">
      <w:pPr>
        <w:pStyle w:val="BodyText"/>
      </w:pPr>
      <w:r w:rsidRPr="004D02E6">
        <w:t>To demonstrate competency, a candidate must satisfy all the</w:t>
      </w:r>
      <w:r w:rsidRPr="004D02E6">
        <w:t xml:space="preserve"> elements, performance criteria and foundation skills of this unit by: </w:t>
      </w:r>
    </w:p>
    <w:p w:rsidR="00000000" w:rsidRPr="004D02E6" w:rsidP="004D02E6">
      <w:pPr>
        <w:pStyle w:val="ListBullet"/>
      </w:pPr>
      <w:r w:rsidRPr="004D02E6">
        <w:t>taking basic measurements and performing basic calculations to determine quantities of materials for construction work using each of the following:</w:t>
      </w:r>
    </w:p>
    <w:p w:rsidR="00000000" w:rsidRPr="004D02E6" w:rsidP="004D02E6">
      <w:pPr>
        <w:pStyle w:val="ListBullet2"/>
      </w:pPr>
      <w:r w:rsidRPr="004D02E6">
        <w:t>weight</w:t>
      </w:r>
    </w:p>
    <w:p w:rsidR="00000000" w:rsidRPr="004D02E6" w:rsidP="004D02E6">
      <w:pPr>
        <w:pStyle w:val="ListBullet2"/>
      </w:pPr>
      <w:r w:rsidRPr="004D02E6">
        <w:t>area</w:t>
      </w:r>
    </w:p>
    <w:p w:rsidR="00000000" w:rsidRPr="004D02E6" w:rsidP="004D02E6">
      <w:pPr>
        <w:pStyle w:val="ListBullet2"/>
      </w:pPr>
      <w:r w:rsidRPr="004D02E6">
        <w:t>volume</w:t>
      </w:r>
    </w:p>
    <w:p w:rsidR="00000000" w:rsidRPr="004D02E6" w:rsidP="004D02E6">
      <w:pPr>
        <w:pStyle w:val="ListBullet2"/>
      </w:pPr>
      <w:r w:rsidRPr="004D02E6">
        <w:t>perimeter</w:t>
      </w:r>
    </w:p>
    <w:p w:rsidR="00000000" w:rsidRPr="004D02E6" w:rsidP="004D02E6">
      <w:pPr>
        <w:pStyle w:val="ListBullet2"/>
      </w:pPr>
      <w:r w:rsidRPr="004D02E6">
        <w:t>circumference</w:t>
      </w:r>
    </w:p>
    <w:p w:rsidR="00000000" w:rsidRPr="004D02E6" w:rsidP="004D02E6">
      <w:pPr>
        <w:pStyle w:val="ListBullet2"/>
      </w:pPr>
      <w:r w:rsidRPr="004D02E6">
        <w:t>ratio</w:t>
      </w:r>
    </w:p>
    <w:p w:rsidR="00000000" w:rsidRPr="004D02E6" w:rsidP="004D02E6">
      <w:pPr>
        <w:pStyle w:val="ListBullet2"/>
      </w:pPr>
      <w:r w:rsidRPr="004D02E6">
        <w:t>percentage</w:t>
      </w:r>
    </w:p>
    <w:p w:rsidR="00000000" w:rsidRPr="004D02E6" w:rsidP="004D02E6">
      <w:pPr>
        <w:pStyle w:val="ListBullet"/>
      </w:pPr>
      <w:r w:rsidRPr="004D02E6">
        <w:t>demonstrating converting measurements in metres to millimetres and measurements in millimetres to metres.</w:t>
      </w:r>
    </w:p>
    <w:p w:rsidR="00000000" w:rsidRPr="004D02E6" w:rsidP="00767B7D">
      <w:pPr>
        <w:pStyle w:val="BodyText"/>
      </w:pPr>
      <w:r w:rsidRPr="004D02E6">
        <w:t>All work must be performed to the standard required in the workplace.</w:t>
      </w:r>
    </w:p>
    <w:p w:rsidR="00000000" w:rsidRPr="004D02E6" w:rsidP="004D02E6">
      <w:pPr>
        <w:pStyle w:val="Heading1"/>
      </w:pPr>
      <w:bookmarkStart w:id="11" w:name="O_1293702"/>
      <w:bookmarkEnd w:id="11"/>
      <w:r w:rsidRPr="004D02E6">
        <w:t>Knowledge Evidence</w:t>
      </w:r>
    </w:p>
    <w:p w:rsidR="00000000" w:rsidRPr="004D02E6" w:rsidP="00767B7D">
      <w:pPr>
        <w:pStyle w:val="BodyText"/>
      </w:pPr>
      <w:r w:rsidRPr="004D02E6">
        <w:t>To be comp</w:t>
      </w:r>
      <w:r w:rsidRPr="004D02E6">
        <w:t>etent in this unit, a candidate must demonstrate knowledge of:</w:t>
      </w:r>
    </w:p>
    <w:p w:rsidR="00000000" w:rsidRPr="004D02E6" w:rsidP="004D02E6">
      <w:pPr>
        <w:pStyle w:val="ListBullet"/>
      </w:pPr>
      <w:r w:rsidRPr="004D02E6">
        <w:t>types of equipment required for planning and performing basic measurements and calculations and their characteristics, uses and limitations, including:</w:t>
      </w:r>
    </w:p>
    <w:p w:rsidR="00000000" w:rsidRPr="004D02E6" w:rsidP="004D02E6">
      <w:pPr>
        <w:pStyle w:val="ListBullet2"/>
      </w:pPr>
      <w:r w:rsidRPr="004D02E6">
        <w:t>rulers</w:t>
      </w:r>
    </w:p>
    <w:p w:rsidR="00000000" w:rsidRPr="004D02E6" w:rsidP="004D02E6">
      <w:pPr>
        <w:pStyle w:val="ListBullet2"/>
      </w:pPr>
      <w:r w:rsidRPr="004D02E6">
        <w:t>tape measures</w:t>
      </w:r>
    </w:p>
    <w:p w:rsidR="00000000" w:rsidRPr="004D02E6" w:rsidP="004D02E6">
      <w:pPr>
        <w:pStyle w:val="ListBullet2"/>
      </w:pPr>
      <w:r w:rsidRPr="004D02E6">
        <w:t>digital measuring and calculating devices</w:t>
      </w:r>
    </w:p>
    <w:p w:rsidR="00000000" w:rsidRPr="004D02E6" w:rsidP="004D02E6">
      <w:pPr>
        <w:pStyle w:val="ListBullet"/>
      </w:pPr>
      <w:r w:rsidRPr="004D02E6">
        <w:t>methods of calculating the area and volume of the following in a construction environment:</w:t>
      </w:r>
    </w:p>
    <w:p w:rsidR="00000000" w:rsidRPr="004D02E6" w:rsidP="004D02E6">
      <w:pPr>
        <w:pStyle w:val="ListBullet2"/>
      </w:pPr>
      <w:r w:rsidRPr="004D02E6">
        <w:t>rectangles</w:t>
      </w:r>
    </w:p>
    <w:p w:rsidR="00000000" w:rsidRPr="004D02E6" w:rsidP="004D02E6">
      <w:pPr>
        <w:pStyle w:val="ListBullet2"/>
      </w:pPr>
      <w:r w:rsidRPr="004D02E6">
        <w:t>squares</w:t>
      </w:r>
    </w:p>
    <w:p w:rsidR="00000000" w:rsidRPr="004D02E6" w:rsidP="004D02E6">
      <w:pPr>
        <w:pStyle w:val="ListBullet2"/>
      </w:pPr>
      <w:r w:rsidRPr="004D02E6">
        <w:t>circles</w:t>
      </w:r>
    </w:p>
    <w:p w:rsidR="00000000" w:rsidRPr="004D02E6" w:rsidP="004D02E6">
      <w:pPr>
        <w:pStyle w:val="ListBullet2"/>
      </w:pPr>
      <w:r w:rsidRPr="004D02E6">
        <w:t>triangles</w:t>
      </w:r>
    </w:p>
    <w:p w:rsidR="00000000" w:rsidRPr="004D02E6" w:rsidP="004D02E6">
      <w:pPr>
        <w:pStyle w:val="ListBullet2"/>
      </w:pPr>
      <w:r w:rsidRPr="004D02E6">
        <w:t>trapeziums</w:t>
      </w:r>
    </w:p>
    <w:p w:rsidR="00000000" w:rsidRPr="004D02E6" w:rsidP="004D02E6">
      <w:pPr>
        <w:pStyle w:val="ListBullet2"/>
      </w:pPr>
      <w:r w:rsidRPr="004D02E6">
        <w:t>cubes</w:t>
      </w:r>
    </w:p>
    <w:p w:rsidR="00767B7D" w:rsidP="004D02E6">
      <w:pPr>
        <w:pStyle w:val="ListBullet2"/>
      </w:pPr>
      <w:r w:rsidRPr="004D02E6">
        <w:t>cylinders.</w:t>
      </w:r>
    </w:p>
    <w:p w:rsidR="00767B7D" w:rsidP="004D02E6">
      <w:pPr>
        <w:pStyle w:val="ListBullet2"/>
      </w:pPr>
    </w:p>
    <w:p w:rsidR="00000000" w:rsidRPr="004D02E6" w:rsidP="004D02E6">
      <w:pPr>
        <w:pStyle w:val="Heading1"/>
      </w:pPr>
      <w:bookmarkStart w:id="12" w:name="O_1293701"/>
      <w:bookmarkEnd w:id="12"/>
      <w:r w:rsidRPr="004D02E6">
        <w:t>Assessment Conditions</w:t>
      </w:r>
    </w:p>
    <w:p w:rsidR="00000000" w:rsidRPr="004D02E6" w:rsidP="00767B7D">
      <w:pPr>
        <w:pStyle w:val="BodyText"/>
      </w:pPr>
      <w:r w:rsidRPr="004D02E6">
        <w:t xml:space="preserve">Assessors must meet the requirements for assessors contained in the Standards for Registered Training Organisations. </w:t>
      </w:r>
    </w:p>
    <w:p w:rsidR="00000000" w:rsidRPr="004D02E6" w:rsidP="00767B7D">
      <w:pPr>
        <w:pStyle w:val="BodyText"/>
      </w:pPr>
      <w:r w:rsidRPr="004D02E6">
        <w:t>This unit must be assessed in the workplace or a close simulation using realistic workplace conditions, materials, activities, responsibil</w:t>
      </w:r>
      <w:r w:rsidRPr="004D02E6">
        <w:t>ities, procedures, safety requirements and environmental considerations.</w:t>
      </w:r>
    </w:p>
    <w:p w:rsidR="00000000" w:rsidRPr="004D02E6" w:rsidP="004D02E6">
      <w:pPr>
        <w:pStyle w:val="Heading1"/>
      </w:pPr>
      <w:bookmarkStart w:id="13" w:name="O_1293714"/>
      <w:bookmarkEnd w:id="13"/>
      <w:r w:rsidRPr="004D02E6">
        <w:t>Links</w:t>
      </w:r>
    </w:p>
    <w:p w:rsidR="00000000" w:rsidRPr="004D02E6" w:rsidP="00767B7D">
      <w:pPr>
        <w:pStyle w:val="BodyText"/>
      </w:pPr>
      <w:r w:rsidRPr="004D02E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600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D02E6" w:rsidP="004D02E6"/>
    <w:sectPr w:rsidSect="004D02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 w:rsidRPr="00767B7D" w:rsidP="00767B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7D" w:rsidP="004D0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B7D" w:rsidP="004D0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7B7D" w:rsidP="004D02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 w:rsidP="004D0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B7D">
      <w:t>Approved</w:t>
    </w:r>
    <w:r w:rsidR="00767B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B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B7D">
      <w:rPr>
        <w:noProof/>
      </w:rPr>
      <w:t>4</w:t>
    </w:r>
    <w:r>
      <w:rPr>
        <w:noProof/>
      </w:rPr>
      <w:fldChar w:fldCharType="end"/>
    </w:r>
  </w:p>
  <w:p w:rsidR="004D02E6" w:rsidP="004D0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B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B7D">
      <w:t>BuildSkills Australia</w:t>
    </w:r>
    <w:r w:rsidR="00767B7D">
      <w:fldChar w:fldCharType="end"/>
    </w:r>
  </w:p>
  <w:p w:rsidR="004D02E6" w:rsidP="004D0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2E6" w:rsidRPr="00767B7D" w:rsidP="00767B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B7D" w:rsidRPr="002D2AF8" w:rsidP="004D0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CPCCOM1015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7B7D" w:rsidP="004D02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2E6" w:rsidRPr="002D2AF8" w:rsidP="004D0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B7D">
      <w:t>CPCCOM1015 Carry out measurements and calculations</w:t>
    </w:r>
    <w:r w:rsidR="00767B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B7D">
      <w:rPr>
        <w:noProof/>
      </w:rPr>
      <w:t>1 March 2025</w:t>
    </w:r>
    <w:r>
      <w:fldChar w:fldCharType="end"/>
    </w:r>
  </w:p>
  <w:p w:rsidR="004D02E6" w:rsidP="004D0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28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6A8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60F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2E6"/>
  </w:style>
  <w:style w:type="character" w:customStyle="1" w:styleId="Heading1Char">
    <w:name w:val="Heading 1 Char"/>
    <w:basedOn w:val="DefaultParagraphFont"/>
    <w:link w:val="Heading1"/>
    <w:rsid w:val="004D0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2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2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2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2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02E6"/>
    <w:rPr>
      <w:i/>
    </w:rPr>
  </w:style>
  <w:style w:type="paragraph" w:customStyle="1" w:styleId="SuperHeading">
    <w:name w:val="SuperHeading"/>
    <w:basedOn w:val="Normal"/>
    <w:rsid w:val="004D0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2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2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2E6"/>
    <w:rPr>
      <w:b/>
      <w:spacing w:val="0"/>
    </w:rPr>
  </w:style>
  <w:style w:type="paragraph" w:customStyle="1" w:styleId="SuperTitle">
    <w:name w:val="SuperTitle"/>
    <w:basedOn w:val="Title"/>
    <w:rsid w:val="004D0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2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0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2E6"/>
  </w:style>
  <w:style w:type="paragraph" w:styleId="TableofFigures">
    <w:name w:val="table of figures"/>
    <w:basedOn w:val="Normal"/>
    <w:next w:val="Normal"/>
    <w:semiHidden/>
    <w:rsid w:val="004D0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2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2E6"/>
    <w:rPr>
      <w:rFonts w:ascii="Wingdings" w:hAnsi="Wingdings"/>
    </w:rPr>
  </w:style>
  <w:style w:type="paragraph" w:customStyle="1" w:styleId="TableHeading">
    <w:name w:val="Table Heading"/>
    <w:basedOn w:val="HeadingBase"/>
    <w:rsid w:val="004D0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2E6"/>
    <w:rPr>
      <w:color w:val="0033CC"/>
      <w:u w:val="none"/>
    </w:rPr>
  </w:style>
  <w:style w:type="paragraph" w:customStyle="1" w:styleId="BodyTextRight">
    <w:name w:val="Body Text Right"/>
    <w:basedOn w:val="BodyText"/>
    <w:rsid w:val="004D0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2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2E6"/>
    <w:rPr>
      <w:sz w:val="32"/>
    </w:rPr>
  </w:style>
  <w:style w:type="paragraph" w:customStyle="1" w:styleId="HeadingProcedure">
    <w:name w:val="Heading Procedure"/>
    <w:basedOn w:val="HeadingBase"/>
    <w:next w:val="Normal"/>
    <w:rsid w:val="004D0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2E6"/>
    <w:pPr>
      <w:spacing w:before="60" w:after="60"/>
    </w:pPr>
  </w:style>
  <w:style w:type="paragraph" w:styleId="ListContinue">
    <w:name w:val="List Continue"/>
    <w:basedOn w:val="List"/>
    <w:rsid w:val="004D02E6"/>
    <w:pPr>
      <w:ind w:firstLine="0"/>
    </w:pPr>
  </w:style>
  <w:style w:type="paragraph" w:customStyle="1" w:styleId="ListNote">
    <w:name w:val="List Note"/>
    <w:basedOn w:val="List"/>
    <w:rsid w:val="004D0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2E6"/>
    <w:rPr>
      <w:rFonts w:ascii="Courier New" w:hAnsi="Courier New"/>
    </w:rPr>
  </w:style>
  <w:style w:type="paragraph" w:customStyle="1" w:styleId="NoteBullet">
    <w:name w:val="Note Bullet"/>
    <w:basedOn w:val="Note"/>
    <w:rsid w:val="004D0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2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2E6"/>
    <w:rPr>
      <w:b/>
      <w:smallCaps/>
    </w:rPr>
  </w:style>
  <w:style w:type="paragraph" w:customStyle="1" w:styleId="TableListNumber">
    <w:name w:val="Table List Number"/>
    <w:basedOn w:val="ListNumber"/>
    <w:rsid w:val="004D0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2E6"/>
    <w:pPr>
      <w:numPr>
        <w:numId w:val="9"/>
      </w:numPr>
    </w:pPr>
  </w:style>
  <w:style w:type="paragraph" w:customStyle="1" w:styleId="ListAlpha2">
    <w:name w:val="List Alpha 2"/>
    <w:basedOn w:val="List2"/>
    <w:rsid w:val="004D02E6"/>
    <w:pPr>
      <w:numPr>
        <w:numId w:val="8"/>
      </w:numPr>
    </w:pPr>
  </w:style>
  <w:style w:type="paragraph" w:styleId="List2">
    <w:name w:val="List 2"/>
    <w:basedOn w:val="BodyText"/>
    <w:rsid w:val="004D02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2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2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2E6"/>
    <w:pPr>
      <w:numPr>
        <w:numId w:val="4"/>
      </w:numPr>
    </w:pPr>
  </w:style>
  <w:style w:type="paragraph" w:styleId="ListContinue2">
    <w:name w:val="List Continue 2"/>
    <w:basedOn w:val="List2"/>
    <w:rsid w:val="004D02E6"/>
    <w:pPr>
      <w:ind w:firstLine="0"/>
    </w:pPr>
  </w:style>
  <w:style w:type="paragraph" w:styleId="ListContinue3">
    <w:name w:val="List Continue 3"/>
    <w:basedOn w:val="List3"/>
    <w:rsid w:val="004D02E6"/>
    <w:pPr>
      <w:ind w:left="1021" w:firstLine="0"/>
    </w:pPr>
  </w:style>
  <w:style w:type="paragraph" w:styleId="ListContinue4">
    <w:name w:val="List Continue 4"/>
    <w:basedOn w:val="List4"/>
    <w:rsid w:val="004D02E6"/>
    <w:pPr>
      <w:ind w:firstLine="0"/>
    </w:pPr>
  </w:style>
  <w:style w:type="paragraph" w:styleId="ListContinue5">
    <w:name w:val="List Continue 5"/>
    <w:basedOn w:val="List5"/>
    <w:rsid w:val="004D02E6"/>
    <w:pPr>
      <w:ind w:firstLine="0"/>
    </w:pPr>
  </w:style>
  <w:style w:type="paragraph" w:styleId="ListNumber3">
    <w:name w:val="List Number 3"/>
    <w:basedOn w:val="List3"/>
    <w:rsid w:val="004D02E6"/>
    <w:pPr>
      <w:numPr>
        <w:numId w:val="5"/>
      </w:numPr>
    </w:pPr>
  </w:style>
  <w:style w:type="paragraph" w:styleId="ListNumber4">
    <w:name w:val="List Number 4"/>
    <w:basedOn w:val="List4"/>
    <w:rsid w:val="004D02E6"/>
    <w:pPr>
      <w:numPr>
        <w:numId w:val="6"/>
      </w:numPr>
    </w:pPr>
  </w:style>
  <w:style w:type="paragraph" w:styleId="ListNumber5">
    <w:name w:val="List Number 5"/>
    <w:basedOn w:val="List5"/>
    <w:rsid w:val="004D02E6"/>
    <w:pPr>
      <w:numPr>
        <w:numId w:val="7"/>
      </w:numPr>
    </w:pPr>
  </w:style>
  <w:style w:type="paragraph" w:styleId="BlockText">
    <w:name w:val="Block Text"/>
    <w:basedOn w:val="Normal"/>
    <w:rsid w:val="004D0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2E6"/>
    <w:rPr>
      <w:sz w:val="16"/>
      <w:vertAlign w:val="superscript"/>
    </w:rPr>
  </w:style>
  <w:style w:type="character" w:customStyle="1" w:styleId="Symbols">
    <w:name w:val="Symbols"/>
    <w:basedOn w:val="DefaultParagraphFont"/>
    <w:rsid w:val="004D02E6"/>
    <w:rPr>
      <w:rFonts w:ascii="Symbol" w:hAnsi="Symbol"/>
    </w:rPr>
  </w:style>
  <w:style w:type="character" w:customStyle="1" w:styleId="MenuOptions">
    <w:name w:val="Menu Options"/>
    <w:basedOn w:val="DefaultParagraphFont"/>
    <w:rsid w:val="004D0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2E6"/>
    <w:rPr>
      <w:b/>
    </w:rPr>
  </w:style>
  <w:style w:type="character" w:customStyle="1" w:styleId="Underlined">
    <w:name w:val="Underlined"/>
    <w:basedOn w:val="DefaultParagraphFont"/>
    <w:rsid w:val="004D02E6"/>
    <w:rPr>
      <w:u w:val="single"/>
    </w:rPr>
  </w:style>
  <w:style w:type="paragraph" w:customStyle="1" w:styleId="TableBodyTextRight">
    <w:name w:val="Table Body Text Right"/>
    <w:basedOn w:val="TableBodyText"/>
    <w:rsid w:val="004D0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2E6"/>
    <w:rPr>
      <w:sz w:val="18"/>
    </w:rPr>
  </w:style>
  <w:style w:type="paragraph" w:customStyle="1" w:styleId="BodySmallRight">
    <w:name w:val="Body Small Right"/>
    <w:basedOn w:val="BodyTextRight"/>
    <w:rsid w:val="004D02E6"/>
    <w:rPr>
      <w:sz w:val="18"/>
      <w:szCs w:val="18"/>
    </w:rPr>
  </w:style>
  <w:style w:type="paragraph" w:customStyle="1" w:styleId="MarginEdition">
    <w:name w:val="Margin Edition"/>
    <w:basedOn w:val="MarginNote"/>
    <w:rsid w:val="004D0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2E6"/>
    <w:rPr>
      <w:sz w:val="2"/>
      <w:szCs w:val="2"/>
    </w:rPr>
  </w:style>
  <w:style w:type="character" w:customStyle="1" w:styleId="Small">
    <w:name w:val="Small"/>
    <w:basedOn w:val="DefaultParagraphFont"/>
    <w:rsid w:val="004D02E6"/>
    <w:rPr>
      <w:sz w:val="16"/>
    </w:rPr>
  </w:style>
  <w:style w:type="paragraph" w:customStyle="1" w:styleId="WideTable">
    <w:name w:val="Wide Table"/>
    <w:basedOn w:val="Normal"/>
    <w:rsid w:val="004D0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2E6"/>
  </w:style>
  <w:style w:type="paragraph" w:styleId="Quote">
    <w:name w:val="Quote"/>
    <w:basedOn w:val="Heading1"/>
    <w:link w:val="QuoteChar"/>
    <w:qFormat/>
    <w:rsid w:val="004D0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2E6"/>
    <w:pPr>
      <w:pageBreakBefore/>
    </w:pPr>
  </w:style>
  <w:style w:type="paragraph" w:customStyle="1" w:styleId="Border">
    <w:name w:val="Border"/>
    <w:basedOn w:val="Normal"/>
    <w:qFormat/>
    <w:rsid w:val="004D0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2E6"/>
    <w:rPr>
      <w:u w:val="single"/>
    </w:rPr>
  </w:style>
  <w:style w:type="character" w:customStyle="1" w:styleId="BoldandItalics">
    <w:name w:val="Bold and Italics"/>
    <w:qFormat/>
    <w:rsid w:val="004D02E6"/>
    <w:rPr>
      <w:b/>
      <w:i/>
      <w:u w:val="none"/>
    </w:rPr>
  </w:style>
  <w:style w:type="paragraph" w:styleId="BalloonText">
    <w:name w:val="Balloon Text"/>
    <w:basedOn w:val="Normal"/>
    <w:link w:val="BalloonTextChar"/>
    <w:rsid w:val="004D0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2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2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2E6"/>
    <w:pPr>
      <w:spacing w:before="0" w:after="0"/>
    </w:pPr>
  </w:style>
  <w:style w:type="paragraph" w:customStyle="1" w:styleId="BodyTextBold">
    <w:name w:val="Body Text Bold"/>
    <w:basedOn w:val="BodyText"/>
    <w:qFormat/>
    <w:rsid w:val="004D02E6"/>
    <w:rPr>
      <w:b/>
    </w:rPr>
  </w:style>
  <w:style w:type="character" w:styleId="Hyperlink">
    <w:name w:val="Hyperlink"/>
    <w:basedOn w:val="DefaultParagraphFont"/>
    <w:uiPriority w:val="99"/>
    <w:unhideWhenUsed/>
    <w:rsid w:val="00767B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4321</Characters>
  <Application>Microsoft Office Word</Application>
  <DocSecurity>0</DocSecurity>
  <Lines>160</Lines>
  <Paragraphs>103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CPCCOM1015 Carry out measurements and calculations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2025-03-01T11:41:00Z</dcterms:created>
  <dcterms:modified xsi:type="dcterms:W3CDTF">2025-03-01T11:41:00Z</dcterms:modified>
</cp:coreProperties>
</file>