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8B6" w:rsidP="001F0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CPCCLTC4002 Licence to operate a self-erecting tower crane</w:t>
      </w:r>
      <w:r>
        <w:fldChar w:fldCharType="end"/>
      </w:r>
    </w:p>
    <w:p w:rsidR="001F08B6" w:rsidP="001F08B6">
      <w:pPr>
        <w:pStyle w:val="Version"/>
        <w:sectPr w:rsidSect="008A5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A5979" w:rsidP="008A5979">
      <w:pPr>
        <w:pStyle w:val="SuperHeading"/>
      </w:pPr>
      <w:r w:rsidRPr="008A5979">
        <w:t>CPCCLTC4002 Licence to operate a self-erecting tower crane</w:t>
      </w:r>
    </w:p>
    <w:p w:rsidR="00000000" w:rsidRPr="008A5979" w:rsidP="008A5979">
      <w:pPr>
        <w:pStyle w:val="Heading1"/>
      </w:pPr>
      <w:bookmarkStart w:id="1" w:name="O_1293776"/>
      <w:bookmarkEnd w:id="1"/>
      <w:r w:rsidRPr="008A59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Updated reference to general construction induction training program.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979" w:rsidP="008A5979">
            <w:pPr>
              <w:pStyle w:val="BodyText"/>
            </w:pPr>
            <w:r w:rsidRPr="008A5979">
              <w:t>This version first released with CPC Construction, Plumbing and Services Training Package Release 5.1.</w:t>
            </w:r>
          </w:p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Missing text in Element</w:t>
            </w:r>
            <w:r w:rsidRPr="008A5979">
              <w:t xml:space="preserve"> and Performance Criteria Point 2 corrected.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979" w:rsidP="008A5979">
            <w:pPr>
              <w:pStyle w:val="BodyText"/>
            </w:pPr>
            <w:r w:rsidRPr="008A5979">
              <w:t>This version first released with CPC Construction, Plumbing and Services Training Package Release 5.0.</w:t>
            </w:r>
          </w:p>
          <w:p w:rsidR="00000000" w:rsidRPr="008A5979" w:rsidP="008A5979">
            <w:pPr>
              <w:pStyle w:val="BodyText"/>
            </w:pPr>
            <w:r w:rsidRPr="008A5979">
              <w:t>Supersedes and is equivalent to CPCCLTC4002A Licence to operate a self-erecting tower crane.  Upd</w:t>
            </w:r>
            <w:r w:rsidRPr="008A5979">
              <w:t>ated to meet the Standards for Training Packages 2012.</w:t>
            </w:r>
          </w:p>
        </w:tc>
      </w:tr>
    </w:tbl>
    <w:p w:rsidR="00000000" w:rsidRPr="008A5979" w:rsidP="008A5979">
      <w:pPr>
        <w:pStyle w:val="BodyText"/>
      </w:pPr>
    </w:p>
    <w:p w:rsidR="00000000" w:rsidRPr="008A5979" w:rsidP="008A5979">
      <w:pPr>
        <w:pStyle w:val="AllowPageBreak"/>
      </w:pPr>
    </w:p>
    <w:p w:rsidR="00000000" w:rsidRPr="008A5979" w:rsidP="008A5979">
      <w:pPr>
        <w:pStyle w:val="Heading1"/>
      </w:pPr>
      <w:bookmarkStart w:id="2" w:name="O_1293775"/>
      <w:bookmarkEnd w:id="2"/>
      <w:r w:rsidRPr="008A5979">
        <w:t>Application</w:t>
      </w:r>
    </w:p>
    <w:p w:rsidR="00000000" w:rsidRPr="008A5979" w:rsidP="001F08B6">
      <w:pPr>
        <w:pStyle w:val="BodyText"/>
      </w:pPr>
      <w:r w:rsidRPr="008A5979">
        <w:t>This unit specifies the skills and knowledge required to safely operate a self-erecting tower crane.</w:t>
      </w:r>
    </w:p>
    <w:p w:rsidR="00000000" w:rsidRPr="008A5979" w:rsidP="001F08B6">
      <w:pPr>
        <w:pStyle w:val="BodyText"/>
      </w:pPr>
      <w:r w:rsidRPr="008A5979">
        <w:t>Self-erecting cranes are common on small to medium-sized constructi</w:t>
      </w:r>
      <w:r w:rsidRPr="008A5979">
        <w:t>on sites. They usually have a horizontal boom that folds out during erection and are usually operated by remote control rather than from a cabin. For licencing purposes, self-erecting tower cranes are a separate category to other types of tower crane.</w:t>
      </w:r>
    </w:p>
    <w:p w:rsidR="00000000" w:rsidRPr="008A5979" w:rsidP="001F08B6">
      <w:pPr>
        <w:pStyle w:val="BodyText"/>
      </w:pPr>
      <w:r w:rsidRPr="008A5979">
        <w:t>Comp</w:t>
      </w:r>
      <w:r w:rsidRPr="008A5979">
        <w:t xml:space="preserve">letion of the general construction induction training program, specified in the Safe Work Australia model </w:t>
      </w:r>
      <w:r w:rsidRPr="008A5979">
        <w:rPr>
          <w:rStyle w:val="Emphasis"/>
        </w:rPr>
        <w:t>Code of Practice: Construction Work</w:t>
      </w:r>
      <w:r w:rsidRPr="008A5979">
        <w:t xml:space="preserve">, is required by anyone carrying out construction work. Achievement of </w:t>
      </w:r>
      <w:r w:rsidRPr="008A5979">
        <w:rPr>
          <w:rStyle w:val="Emphasis"/>
        </w:rPr>
        <w:t>CPCWHS1001</w:t>
      </w:r>
      <w:r w:rsidRPr="008A5979">
        <w:t xml:space="preserve"> </w:t>
      </w:r>
      <w:r w:rsidRPr="008A5979">
        <w:rPr>
          <w:rStyle w:val="Emphasis"/>
        </w:rPr>
        <w:t>Prepare to work safely in the con</w:t>
      </w:r>
      <w:r w:rsidRPr="008A5979">
        <w:rPr>
          <w:rStyle w:val="Emphasis"/>
        </w:rPr>
        <w:t>struction industry</w:t>
      </w:r>
      <w:r w:rsidRPr="008A5979">
        <w:t xml:space="preserve"> meets this requirement.</w:t>
      </w:r>
    </w:p>
    <w:p w:rsidR="001F08B6" w:rsidP="001F08B6">
      <w:pPr>
        <w:pStyle w:val="BodyText"/>
      </w:pPr>
      <w:r w:rsidRPr="008A5979">
        <w:t xml:space="preserve">Competence in this unit does not in itself result in a licence. A licence is obtained after competence is assessed under applicable Commonwealth, state or territory work health and safety (WHS) regulations. </w:t>
      </w:r>
    </w:p>
    <w:p w:rsidR="00000000" w:rsidRPr="008A5979" w:rsidP="008A5979">
      <w:pPr>
        <w:pStyle w:val="Heading1"/>
      </w:pPr>
      <w:bookmarkStart w:id="3" w:name="O_1293774"/>
      <w:bookmarkEnd w:id="3"/>
      <w:r w:rsidRPr="008A5979">
        <w:t>Pre-requisite Unit</w:t>
      </w:r>
    </w:p>
    <w:p w:rsidR="00000000" w:rsidRPr="008A5979" w:rsidP="001F08B6">
      <w:pPr>
        <w:pStyle w:val="BodyText"/>
      </w:pPr>
      <w:r w:rsidRPr="008A5979">
        <w:t>Nil.</w:t>
      </w:r>
    </w:p>
    <w:p w:rsidR="00000000" w:rsidRPr="008A5979" w:rsidP="008A5979">
      <w:pPr>
        <w:pStyle w:val="Heading1"/>
      </w:pPr>
      <w:bookmarkStart w:id="4" w:name="O_1293773"/>
      <w:bookmarkEnd w:id="4"/>
      <w:r w:rsidRPr="008A5979">
        <w:t>Unit Sector</w:t>
      </w:r>
    </w:p>
    <w:p w:rsidR="00000000" w:rsidRPr="008A5979" w:rsidP="001F08B6">
      <w:pPr>
        <w:pStyle w:val="BodyText"/>
      </w:pPr>
      <w:r w:rsidRPr="008A5979">
        <w:t>Licencing</w:t>
      </w:r>
    </w:p>
    <w:p w:rsidR="00000000" w:rsidRPr="008A5979" w:rsidP="008A5979">
      <w:pPr>
        <w:pStyle w:val="Heading1"/>
      </w:pPr>
      <w:bookmarkStart w:id="5" w:name="O_1293772"/>
      <w:bookmarkEnd w:id="5"/>
      <w:r w:rsidRPr="008A59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Performance criteria describe what needs to be done to demonstrate achievemen</w:t>
            </w:r>
            <w:r w:rsidRPr="008A5979">
              <w:t>t of the element.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Review task instructions, consult with relevant persons to seek clarification as required, and obtain relevant workplace information.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Obtain and interpret information required to ensure t</w:t>
            </w:r>
            <w:r w:rsidRPr="008A5979">
              <w:t>hat equipment inspection, use, maintenance and storage complies with manufacturer requirements.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Identify workplace and task-specific hazards, including, where relevant, hazards associated with working at heights, and determine required risk controls</w:t>
            </w:r>
            <w:r w:rsidRPr="008A5979">
              <w:t xml:space="preserve"> and safety measures and equipment.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Calculate load weight in consultation with relevant persons.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Consult with relevant persons to confirm that load weight is within the rated capacity of the crane and the working l</w:t>
            </w:r>
            <w:r w:rsidRPr="008A5979">
              <w:t>oad limit (WLL) of the lifting gear.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Determine and inspect crane and load movement paths.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Confirm implementation of and compliance with traffic management plan.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Establish required communication methods with relevant persons.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Establish and maintain communication with relevant persons to ensure lift plan and risk controls are communicated clearly, including any impact on other workplace activities.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Prepare for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Check signs and labels to ensure visibility and legibility.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 xml:space="preserve">Assess wind and other adverse weather conditions and determine whether their impact on the crane and loads is </w:t>
            </w:r>
            <w:r w:rsidRPr="008A5979">
              <w:t xml:space="preserve">within the manufacturer requirements for safe operation. 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 xml:space="preserve">Safely access </w:t>
            </w:r>
            <w:r w:rsidRPr="008A5979">
              <w:t>the area from which the crane will be operated.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Test crane safety devices in accordance with workplace requirements.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Carry out pre-start crane checks and shut down, tag out, report and record identified damage or defects, in accordance with safe work practices, workplace-specific procedures and policies, and manufacturer requirements.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 xml:space="preserve">Check that crane logbook has </w:t>
            </w:r>
            <w:r w:rsidRPr="008A5979">
              <w:t>been completed and signed, that it is correct for crane type and current compliance, and that any rectifications have been signed off.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Start crane, carry out operational checks, check for abnorm</w:t>
            </w:r>
            <w:r w:rsidRPr="008A5979">
              <w:t>al noises, smoke or fumes and shut down, tag out, report and record identified abnormalities, in accordance with safe work practices, workplace-specific procedures and policies, and manufacturer requirements.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Transfer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Position boom or jib</w:t>
            </w:r>
            <w:r w:rsidRPr="008A5979">
              <w:t xml:space="preserve"> and hook block over load as directed by licensed dogger.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Carry out test lift to allow for checks and adjustments to slinging to be made by licensed dogger.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Under the direction of a licensed dogger, transfer</w:t>
            </w:r>
            <w:r w:rsidRPr="008A5979">
              <w:t xml:space="preserve"> loads using appropriate crane movements.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Use radio and interpret hand and whistle signals to communicate with licensed dogger.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Lower and land load, allowing lifting gear to be disconnected.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Shut down and secure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Apply hoist, trolley and travel brakes.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 xml:space="preserve">Shut down crane in accordance with manufacturer requirements. 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Carry out routine shut-down checks, and secure crane and equipment against unauthorised access.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Safely exit the area from which the crane has been operated.</w:t>
            </w:r>
          </w:p>
        </w:tc>
      </w:tr>
      <w:tr w:rsidTr="008A5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979">
            <w:pPr>
              <w:pStyle w:val="BodyText"/>
              <w:rPr>
                <w:lang w:val="en-NZ"/>
              </w:rPr>
            </w:pPr>
            <w:r w:rsidRPr="008A5979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979" w:rsidP="008A5979">
            <w:pPr>
              <w:pStyle w:val="BodyText"/>
            </w:pPr>
            <w:r w:rsidRPr="008A5979">
              <w:t>Report and record any damage or defects.</w:t>
            </w:r>
          </w:p>
        </w:tc>
      </w:tr>
    </w:tbl>
    <w:p w:rsidR="001F08B6" w:rsidP="008A5979">
      <w:pPr>
        <w:pStyle w:val="BodyText"/>
      </w:pPr>
    </w:p>
    <w:p w:rsidR="001F08B6" w:rsidP="008A5979">
      <w:pPr>
        <w:pStyle w:val="BodyText"/>
      </w:pPr>
    </w:p>
    <w:p w:rsidR="00000000" w:rsidRPr="008A5979" w:rsidP="008A5979">
      <w:pPr>
        <w:pStyle w:val="Heading1"/>
      </w:pPr>
      <w:bookmarkStart w:id="6" w:name="O_1293771"/>
      <w:bookmarkEnd w:id="6"/>
      <w:r w:rsidRPr="008A5979">
        <w:t>Foundation Skills</w:t>
      </w:r>
    </w:p>
    <w:p w:rsidR="00000000" w:rsidRPr="008A5979" w:rsidP="001F08B6">
      <w:pPr>
        <w:pStyle w:val="BodyText"/>
      </w:pPr>
      <w:r w:rsidRPr="008A5979">
        <w:t xml:space="preserve">Foundation skills essential to performance are explicit in the performance criteria of this unit of competency. </w:t>
      </w:r>
    </w:p>
    <w:p w:rsidR="00000000" w:rsidRPr="008A5979" w:rsidP="008A5979">
      <w:pPr>
        <w:pStyle w:val="Heading1"/>
      </w:pPr>
      <w:bookmarkStart w:id="7" w:name="O_1293770"/>
      <w:bookmarkEnd w:id="7"/>
      <w:r w:rsidRPr="008A5979">
        <w:t>Unit Mapping Information</w:t>
      </w:r>
    </w:p>
    <w:p w:rsidR="00000000" w:rsidRPr="008A5979" w:rsidP="001F08B6">
      <w:pPr>
        <w:pStyle w:val="BodyText"/>
      </w:pPr>
      <w:r w:rsidRPr="008A5979">
        <w:t>Supersedes and is equivalent to CPCCLTC4002A Licence to operate a self-erecting tower crane.</w:t>
      </w:r>
    </w:p>
    <w:p w:rsidR="00000000" w:rsidRPr="008A5979" w:rsidP="008A5979">
      <w:pPr>
        <w:pStyle w:val="Heading1"/>
      </w:pPr>
      <w:bookmarkStart w:id="8" w:name="O_1293777"/>
      <w:bookmarkEnd w:id="8"/>
      <w:r w:rsidRPr="008A5979">
        <w:t>Links</w:t>
      </w:r>
    </w:p>
    <w:p w:rsidR="00000000" w:rsidRPr="008A5979" w:rsidP="001F08B6">
      <w:pPr>
        <w:pStyle w:val="BodyText"/>
      </w:pPr>
      <w:r w:rsidRPr="008A59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5D2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5979" w:rsidP="008A5979"/>
    <w:sectPr w:rsidSect="008A5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79" w:rsidRPr="001F08B6" w:rsidP="001F0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B6" w:rsidP="008A5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8B6" w:rsidP="008A5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08B6" w:rsidP="008A5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979" w:rsidRPr="001F08B6" w:rsidP="001F0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B6" w:rsidRPr="002D2AF8" w:rsidP="008A5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CPCCLTC4002 Licence to operate a self-erecting tower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F08B6" w:rsidP="008A5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979"/>
  </w:style>
  <w:style w:type="character" w:customStyle="1" w:styleId="Heading1Char">
    <w:name w:val="Heading 1 Char"/>
    <w:basedOn w:val="DefaultParagraphFont"/>
    <w:link w:val="Heading1"/>
    <w:rsid w:val="008A5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97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A5979"/>
    <w:rPr>
      <w:i/>
    </w:rPr>
  </w:style>
  <w:style w:type="paragraph" w:customStyle="1" w:styleId="SuperHeading">
    <w:name w:val="SuperHeading"/>
    <w:basedOn w:val="Normal"/>
    <w:rsid w:val="008A5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9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9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5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5979"/>
    <w:rPr>
      <w:b/>
      <w:spacing w:val="0"/>
    </w:rPr>
  </w:style>
  <w:style w:type="paragraph" w:customStyle="1" w:styleId="SuperTitle">
    <w:name w:val="SuperTitle"/>
    <w:basedOn w:val="Title"/>
    <w:rsid w:val="008A5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9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9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979"/>
  </w:style>
  <w:style w:type="paragraph" w:styleId="TableofFigures">
    <w:name w:val="table of figures"/>
    <w:basedOn w:val="Normal"/>
    <w:next w:val="Normal"/>
    <w:semiHidden/>
    <w:rsid w:val="008A5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9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5979"/>
    <w:rPr>
      <w:rFonts w:ascii="Wingdings" w:hAnsi="Wingdings"/>
    </w:rPr>
  </w:style>
  <w:style w:type="paragraph" w:customStyle="1" w:styleId="TableHeading">
    <w:name w:val="Table Heading"/>
    <w:basedOn w:val="HeadingBase"/>
    <w:rsid w:val="008A5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979"/>
    <w:rPr>
      <w:color w:val="0033CC"/>
      <w:u w:val="none"/>
    </w:rPr>
  </w:style>
  <w:style w:type="paragraph" w:customStyle="1" w:styleId="BodyTextRight">
    <w:name w:val="Body Text Right"/>
    <w:basedOn w:val="BodyText"/>
    <w:rsid w:val="008A5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9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979"/>
    <w:rPr>
      <w:sz w:val="32"/>
    </w:rPr>
  </w:style>
  <w:style w:type="paragraph" w:customStyle="1" w:styleId="HeadingProcedure">
    <w:name w:val="Heading Procedure"/>
    <w:basedOn w:val="HeadingBase"/>
    <w:next w:val="Normal"/>
    <w:rsid w:val="008A5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979"/>
    <w:pPr>
      <w:spacing w:before="60" w:after="60"/>
    </w:pPr>
  </w:style>
  <w:style w:type="paragraph" w:styleId="ListContinue">
    <w:name w:val="List Continue"/>
    <w:basedOn w:val="List"/>
    <w:rsid w:val="008A5979"/>
    <w:pPr>
      <w:ind w:firstLine="0"/>
    </w:pPr>
  </w:style>
  <w:style w:type="paragraph" w:customStyle="1" w:styleId="ListNote">
    <w:name w:val="List Note"/>
    <w:basedOn w:val="List"/>
    <w:rsid w:val="008A5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979"/>
    <w:rPr>
      <w:rFonts w:ascii="Courier New" w:hAnsi="Courier New"/>
    </w:rPr>
  </w:style>
  <w:style w:type="paragraph" w:customStyle="1" w:styleId="NoteBullet">
    <w:name w:val="Note Bullet"/>
    <w:basedOn w:val="Note"/>
    <w:rsid w:val="008A5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9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5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979"/>
    <w:rPr>
      <w:b/>
      <w:smallCaps/>
    </w:rPr>
  </w:style>
  <w:style w:type="paragraph" w:customStyle="1" w:styleId="TableListNumber">
    <w:name w:val="Table List Number"/>
    <w:basedOn w:val="ListNumber"/>
    <w:rsid w:val="008A5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979"/>
    <w:pPr>
      <w:numPr>
        <w:numId w:val="7"/>
      </w:numPr>
    </w:pPr>
  </w:style>
  <w:style w:type="paragraph" w:customStyle="1" w:styleId="ListAlpha2">
    <w:name w:val="List Alpha 2"/>
    <w:basedOn w:val="List2"/>
    <w:rsid w:val="008A5979"/>
    <w:pPr>
      <w:numPr>
        <w:numId w:val="6"/>
      </w:numPr>
    </w:pPr>
  </w:style>
  <w:style w:type="paragraph" w:styleId="List2">
    <w:name w:val="List 2"/>
    <w:basedOn w:val="BodyText"/>
    <w:rsid w:val="008A5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9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9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5979"/>
    <w:pPr>
      <w:numPr>
        <w:numId w:val="2"/>
      </w:numPr>
    </w:pPr>
  </w:style>
  <w:style w:type="paragraph" w:styleId="ListContinue2">
    <w:name w:val="List Continue 2"/>
    <w:basedOn w:val="List2"/>
    <w:rsid w:val="008A5979"/>
    <w:pPr>
      <w:ind w:firstLine="0"/>
    </w:pPr>
  </w:style>
  <w:style w:type="paragraph" w:styleId="ListContinue3">
    <w:name w:val="List Continue 3"/>
    <w:basedOn w:val="List3"/>
    <w:rsid w:val="008A5979"/>
    <w:pPr>
      <w:ind w:left="1021" w:firstLine="0"/>
    </w:pPr>
  </w:style>
  <w:style w:type="paragraph" w:styleId="ListContinue4">
    <w:name w:val="List Continue 4"/>
    <w:basedOn w:val="List4"/>
    <w:rsid w:val="008A5979"/>
    <w:pPr>
      <w:ind w:firstLine="0"/>
    </w:pPr>
  </w:style>
  <w:style w:type="paragraph" w:styleId="ListContinue5">
    <w:name w:val="List Continue 5"/>
    <w:basedOn w:val="List5"/>
    <w:rsid w:val="008A5979"/>
    <w:pPr>
      <w:ind w:firstLine="0"/>
    </w:pPr>
  </w:style>
  <w:style w:type="paragraph" w:styleId="ListNumber3">
    <w:name w:val="List Number 3"/>
    <w:basedOn w:val="List3"/>
    <w:rsid w:val="008A5979"/>
    <w:pPr>
      <w:numPr>
        <w:numId w:val="3"/>
      </w:numPr>
    </w:pPr>
  </w:style>
  <w:style w:type="paragraph" w:styleId="ListNumber4">
    <w:name w:val="List Number 4"/>
    <w:basedOn w:val="List4"/>
    <w:rsid w:val="008A5979"/>
    <w:pPr>
      <w:numPr>
        <w:numId w:val="4"/>
      </w:numPr>
    </w:pPr>
  </w:style>
  <w:style w:type="paragraph" w:styleId="ListNumber5">
    <w:name w:val="List Number 5"/>
    <w:basedOn w:val="List5"/>
    <w:rsid w:val="008A5979"/>
    <w:pPr>
      <w:numPr>
        <w:numId w:val="5"/>
      </w:numPr>
    </w:pPr>
  </w:style>
  <w:style w:type="paragraph" w:styleId="BlockText">
    <w:name w:val="Block Text"/>
    <w:basedOn w:val="Normal"/>
    <w:rsid w:val="008A5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979"/>
    <w:rPr>
      <w:sz w:val="16"/>
      <w:vertAlign w:val="superscript"/>
    </w:rPr>
  </w:style>
  <w:style w:type="character" w:customStyle="1" w:styleId="Symbols">
    <w:name w:val="Symbols"/>
    <w:basedOn w:val="DefaultParagraphFont"/>
    <w:rsid w:val="008A5979"/>
    <w:rPr>
      <w:rFonts w:ascii="Symbol" w:hAnsi="Symbol"/>
    </w:rPr>
  </w:style>
  <w:style w:type="character" w:customStyle="1" w:styleId="MenuOptions">
    <w:name w:val="Menu Options"/>
    <w:basedOn w:val="DefaultParagraphFont"/>
    <w:rsid w:val="008A5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979"/>
    <w:rPr>
      <w:b/>
    </w:rPr>
  </w:style>
  <w:style w:type="character" w:customStyle="1" w:styleId="Underlined">
    <w:name w:val="Underlined"/>
    <w:basedOn w:val="DefaultParagraphFont"/>
    <w:rsid w:val="008A5979"/>
    <w:rPr>
      <w:u w:val="single"/>
    </w:rPr>
  </w:style>
  <w:style w:type="paragraph" w:customStyle="1" w:styleId="TableBodyTextRight">
    <w:name w:val="Table Body Text Right"/>
    <w:basedOn w:val="TableBodyText"/>
    <w:rsid w:val="008A5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979"/>
    <w:rPr>
      <w:sz w:val="18"/>
    </w:rPr>
  </w:style>
  <w:style w:type="paragraph" w:customStyle="1" w:styleId="BodySmallRight">
    <w:name w:val="Body Small Right"/>
    <w:basedOn w:val="BodyTextRight"/>
    <w:rsid w:val="008A5979"/>
    <w:rPr>
      <w:sz w:val="18"/>
      <w:szCs w:val="18"/>
    </w:rPr>
  </w:style>
  <w:style w:type="paragraph" w:customStyle="1" w:styleId="MarginEdition">
    <w:name w:val="Margin Edition"/>
    <w:basedOn w:val="MarginNote"/>
    <w:rsid w:val="008A5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979"/>
    <w:rPr>
      <w:sz w:val="2"/>
      <w:szCs w:val="2"/>
    </w:rPr>
  </w:style>
  <w:style w:type="character" w:customStyle="1" w:styleId="Small">
    <w:name w:val="Small"/>
    <w:basedOn w:val="DefaultParagraphFont"/>
    <w:rsid w:val="008A5979"/>
    <w:rPr>
      <w:sz w:val="16"/>
    </w:rPr>
  </w:style>
  <w:style w:type="paragraph" w:customStyle="1" w:styleId="WideTable">
    <w:name w:val="Wide Table"/>
    <w:basedOn w:val="Normal"/>
    <w:rsid w:val="008A5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979"/>
  </w:style>
  <w:style w:type="paragraph" w:styleId="Quote">
    <w:name w:val="Quote"/>
    <w:basedOn w:val="Heading1"/>
    <w:link w:val="QuoteChar"/>
    <w:qFormat/>
    <w:rsid w:val="008A5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979"/>
    <w:pPr>
      <w:pageBreakBefore/>
    </w:pPr>
  </w:style>
  <w:style w:type="paragraph" w:customStyle="1" w:styleId="Border">
    <w:name w:val="Border"/>
    <w:basedOn w:val="Normal"/>
    <w:qFormat/>
    <w:rsid w:val="008A5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979"/>
    <w:rPr>
      <w:u w:val="single"/>
    </w:rPr>
  </w:style>
  <w:style w:type="character" w:customStyle="1" w:styleId="BoldandItalics">
    <w:name w:val="Bold and Italics"/>
    <w:qFormat/>
    <w:rsid w:val="008A5979"/>
    <w:rPr>
      <w:b/>
      <w:i/>
      <w:u w:val="none"/>
    </w:rPr>
  </w:style>
  <w:style w:type="paragraph" w:styleId="BalloonText">
    <w:name w:val="Balloon Text"/>
    <w:basedOn w:val="Normal"/>
    <w:link w:val="BalloonTextChar"/>
    <w:rsid w:val="008A5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979"/>
    <w:pPr>
      <w:spacing w:before="0" w:after="0"/>
    </w:pPr>
  </w:style>
  <w:style w:type="paragraph" w:customStyle="1" w:styleId="BodyTextBold">
    <w:name w:val="Body Text Bold"/>
    <w:basedOn w:val="BodyText"/>
    <w:qFormat/>
    <w:rsid w:val="008A5979"/>
    <w:rPr>
      <w:b/>
    </w:rPr>
  </w:style>
  <w:style w:type="character" w:styleId="Hyperlink">
    <w:name w:val="Hyperlink"/>
    <w:basedOn w:val="DefaultParagraphFont"/>
    <w:uiPriority w:val="99"/>
    <w:unhideWhenUsed/>
    <w:rsid w:val="001F0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4861</Characters>
  <Application>Microsoft Office Word</Application>
  <DocSecurity>0</DocSecurity>
  <Lines>231</Lines>
  <Paragraphs>111</Paragraphs>
  <ScaleCrop>false</ScaleCrop>
  <Company>Author-it Software Corporation Ltd.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CPCCLTC4002 Licence to operate a self-erecting tower crane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