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78F" w:rsidP="009247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CPCCLTC4001 Licence to operate a tower crane</w:t>
      </w:r>
      <w:r>
        <w:fldChar w:fldCharType="end"/>
      </w:r>
    </w:p>
    <w:p w:rsidR="0092478F" w:rsidP="0092478F">
      <w:pPr>
        <w:pStyle w:val="Version"/>
        <w:sectPr w:rsidSect="006505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505D3" w:rsidP="006505D3">
      <w:pPr>
        <w:pStyle w:val="SuperHeading"/>
      </w:pPr>
      <w:r w:rsidRPr="006505D3">
        <w:t>CPCCLTC4001 Licence to operate a tower crane</w:t>
      </w:r>
    </w:p>
    <w:p w:rsidR="00000000" w:rsidRPr="006505D3" w:rsidP="006505D3">
      <w:pPr>
        <w:pStyle w:val="Heading1"/>
      </w:pPr>
      <w:bookmarkStart w:id="1" w:name="O_1293808"/>
      <w:bookmarkEnd w:id="1"/>
      <w:r w:rsidRPr="006505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Updated reference to general construction induction training program.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D3" w:rsidP="006505D3">
            <w:pPr>
              <w:pStyle w:val="BodyText"/>
            </w:pPr>
            <w:r w:rsidRPr="006505D3">
              <w:t>This version first released with CPC Construction, Plumbing and Services Training Package Release 5.1.</w:t>
            </w:r>
          </w:p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Minor edits to formatting.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Rele</w:t>
            </w:r>
            <w:r w:rsidRPr="006505D3">
              <w:t>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D3" w:rsidP="006505D3">
            <w:pPr>
              <w:pStyle w:val="BodyText"/>
            </w:pPr>
            <w:r w:rsidRPr="006505D3">
              <w:t>This version first released with CPC Construction, Plumbing and Services Training Package Release 5.0.</w:t>
            </w:r>
          </w:p>
          <w:p w:rsidR="00000000" w:rsidRPr="006505D3" w:rsidP="006505D3">
            <w:pPr>
              <w:pStyle w:val="BodyText"/>
            </w:pPr>
            <w:r w:rsidRPr="006505D3">
              <w:t>Supersedes and is equivalent to CPCCLTC4001A Licence to operate a tower crane.  Updated to meet the Standards for Training Packages 2012.</w:t>
            </w:r>
          </w:p>
        </w:tc>
      </w:tr>
    </w:tbl>
    <w:p w:rsidR="00000000" w:rsidRPr="006505D3" w:rsidP="006505D3">
      <w:pPr>
        <w:pStyle w:val="BodyText"/>
      </w:pPr>
    </w:p>
    <w:p w:rsidR="00000000" w:rsidRPr="006505D3" w:rsidP="006505D3">
      <w:pPr>
        <w:pStyle w:val="AllowPageBreak"/>
      </w:pPr>
    </w:p>
    <w:p w:rsidR="00000000" w:rsidRPr="006505D3" w:rsidP="006505D3">
      <w:pPr>
        <w:pStyle w:val="Heading1"/>
      </w:pPr>
      <w:bookmarkStart w:id="2" w:name="O_1293807"/>
      <w:bookmarkEnd w:id="2"/>
      <w:r w:rsidRPr="006505D3">
        <w:t>Application</w:t>
      </w:r>
    </w:p>
    <w:p w:rsidR="00000000" w:rsidRPr="006505D3" w:rsidP="0092478F">
      <w:pPr>
        <w:pStyle w:val="BodyText"/>
      </w:pPr>
      <w:r w:rsidRPr="006505D3">
        <w:t>This unit specifies the skills and knowledge required to safely operate a tower crane.</w:t>
      </w:r>
    </w:p>
    <w:p w:rsidR="00000000" w:rsidRPr="006505D3" w:rsidP="0092478F">
      <w:pPr>
        <w:pStyle w:val="BodyText"/>
      </w:pPr>
      <w:r w:rsidRPr="006505D3">
        <w:t xml:space="preserve">Tower crane work involves a boom crane or a jib crane (with horizontal or luffing jib) mounted on a demountable or permanent tower structure. </w:t>
      </w:r>
    </w:p>
    <w:p w:rsidR="00000000" w:rsidRPr="006505D3" w:rsidP="0092478F">
      <w:pPr>
        <w:pStyle w:val="BodyText"/>
      </w:pPr>
      <w:r w:rsidRPr="006505D3">
        <w:t>Se</w:t>
      </w:r>
      <w:r w:rsidRPr="006505D3">
        <w:t>lf-erecting tower cranes are not included in this unit of competency.</w:t>
      </w:r>
    </w:p>
    <w:p w:rsidR="00000000" w:rsidRPr="006505D3" w:rsidP="0092478F">
      <w:pPr>
        <w:pStyle w:val="BodyText"/>
      </w:pPr>
      <w:r w:rsidRPr="006505D3">
        <w:t>Completion of the general construction induction training program, specified in the Safe Work Australia model Code of Practice: Construction Work, is required by anyone carrying out cons</w:t>
      </w:r>
      <w:r w:rsidRPr="006505D3">
        <w:t>truction work. Achievement of CPCWHS1001 Prepare to work safely in the construction industry meets this requirement.</w:t>
      </w:r>
    </w:p>
    <w:p w:rsidR="00000000" w:rsidRPr="006505D3" w:rsidP="0092478F">
      <w:pPr>
        <w:pStyle w:val="BodyText"/>
      </w:pPr>
      <w:r w:rsidRPr="006505D3">
        <w:t>Competence in this unit does not in itself result in a licence. A licence is obtained after competence is assessed under applicable Commonw</w:t>
      </w:r>
      <w:r w:rsidRPr="006505D3">
        <w:t xml:space="preserve">ealth, state or territory work health and safety (WHS) regulations. </w:t>
      </w:r>
    </w:p>
    <w:p w:rsidR="00000000" w:rsidRPr="006505D3" w:rsidP="006505D3">
      <w:pPr>
        <w:pStyle w:val="Heading1"/>
      </w:pPr>
      <w:bookmarkStart w:id="3" w:name="O_1293806"/>
      <w:bookmarkEnd w:id="3"/>
      <w:r w:rsidRPr="006505D3">
        <w:t>Pre-requisite Unit</w:t>
      </w:r>
    </w:p>
    <w:p w:rsidR="00000000" w:rsidRPr="006505D3" w:rsidP="0092478F">
      <w:pPr>
        <w:pStyle w:val="BodyText"/>
      </w:pPr>
      <w:r w:rsidRPr="006505D3">
        <w:t>Nil.</w:t>
      </w:r>
    </w:p>
    <w:p w:rsidR="00000000" w:rsidRPr="006505D3" w:rsidP="006505D3">
      <w:pPr>
        <w:pStyle w:val="Heading1"/>
      </w:pPr>
      <w:bookmarkStart w:id="4" w:name="O_1293805"/>
      <w:bookmarkEnd w:id="4"/>
      <w:r w:rsidRPr="006505D3">
        <w:t>Unit Sector</w:t>
      </w:r>
    </w:p>
    <w:p w:rsidR="00000000" w:rsidRPr="006505D3" w:rsidP="0092478F">
      <w:pPr>
        <w:pStyle w:val="BodyText"/>
      </w:pPr>
      <w:r w:rsidRPr="006505D3">
        <w:t>Licencing</w:t>
      </w:r>
    </w:p>
    <w:p w:rsidR="00000000" w:rsidRPr="006505D3" w:rsidP="006505D3">
      <w:pPr>
        <w:pStyle w:val="Heading1"/>
      </w:pPr>
      <w:bookmarkStart w:id="5" w:name="O_1293804"/>
      <w:bookmarkEnd w:id="5"/>
      <w:r w:rsidRPr="006505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 xml:space="preserve">Elements describe the </w:t>
            </w:r>
            <w:r w:rsidRPr="006505D3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 xml:space="preserve">Performance criteria describe what needs to be done to </w:t>
            </w:r>
            <w:r w:rsidRPr="006505D3">
              <w:t>demonstrate achievement of the element.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Review task instructions, consult with relevant persons to seek clarification as required, and obtain relevant workplace information.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Obtain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Obtain and interpret information required to ensure t</w:t>
            </w:r>
            <w:r w:rsidRPr="006505D3">
              <w:t>hat equipment inspection, use, maintenance and storage complies with manufacturer requirements.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Identify workplace and task-specific hazards, including hazards associated with working at heights, and determine required risk controls and safety measu</w:t>
            </w:r>
            <w:r w:rsidRPr="006505D3">
              <w:t>res and equipment, including fall prevention and fall arrest equipment, as required.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Identify methods of moving and placing tools, equipment and materials to minimise the risk of falling objects.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Calculate load weight in consultation with licensed dogger.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Consult with licensed dogger to confirm that load weight is within the rated capacity of the crane and the working load limit (WLL) of the lifting gear.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Determine and inspect crane a</w:t>
            </w:r>
            <w:r w:rsidRPr="006505D3">
              <w:t>nd load movement paths.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Confirm implementation of and compliance with traffic management plan.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Establish required communication methods with relevant persons.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1.11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Establish and maintain communication with relevant persons to ensure lift plan and risk controls are communicated clearly, including any impact on other workplace activities.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Prepare for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Check signs and labels to ensure visibility and legibility.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 xml:space="preserve">Assess wind and other adverse weather conditions and determine whether their impact on the crane and loads is </w:t>
            </w:r>
            <w:r w:rsidRPr="006505D3">
              <w:t xml:space="preserve">within the manufacturer requirements for safe operation. 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Access crane safely.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Test crane safety devices in accordance with workplace requirements.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Carry out pre-start crane checks and report, record and take action on identified damage or defects, in accordance with safe work practices, workplace-specific procedures and policies, and manufacturer requirements.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Check that crane logbook has been</w:t>
            </w:r>
            <w:r w:rsidRPr="006505D3">
              <w:t xml:space="preserve"> completed and signed, that it is correct for crane type and current compliance, and that any rectifications have been signed off.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Start crane, carry out operational checks, check for abnormal noises, smoke or fumes and shut down, tag out, report an</w:t>
            </w:r>
            <w:r w:rsidRPr="006505D3">
              <w:t>d record identified abnormalities in accordance with safe work practices, workplace-specific procedures and policies, and manufacturer requirements.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Transfer load.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Position boom or jib and hook block over the load as directed by licensed dogger.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Carry out test lift to allow for checks and adjustments to slinging to be made by licensed dogger.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Under the direction of the licensed dogger, transfer loads using appropriate crane movements.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Use radio and interpret hand and whistle signals to communicate with licensed dogger.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Lower and land load, allowing lifting gear to be disconnected.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Shut down and secure 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Apply hoist, luffing, trolley and travel brakes.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 xml:space="preserve">Shut down crane and place in weather-vane position in accordance with manufacturer requirements. 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Carry out routine shutdown checks, and secure crane and equipment, including cabin, against unauthorised access.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Exit the crane safely.</w:t>
            </w:r>
          </w:p>
        </w:tc>
      </w:tr>
      <w:tr w:rsidTr="00650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D3">
            <w:pPr>
              <w:pStyle w:val="BodyText"/>
              <w:rPr>
                <w:lang w:val="en-NZ"/>
              </w:rPr>
            </w:pPr>
            <w:r w:rsidRPr="006505D3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D3" w:rsidP="006505D3">
            <w:pPr>
              <w:pStyle w:val="BodyText"/>
            </w:pPr>
            <w:r w:rsidRPr="006505D3">
              <w:t>Report and record any damage or defects.</w:t>
            </w:r>
          </w:p>
        </w:tc>
      </w:tr>
    </w:tbl>
    <w:p w:rsidR="00000000" w:rsidRPr="006505D3" w:rsidP="006505D3">
      <w:pPr>
        <w:pStyle w:val="BodyText"/>
      </w:pPr>
    </w:p>
    <w:p w:rsidR="00000000" w:rsidRPr="006505D3" w:rsidP="006505D3">
      <w:pPr>
        <w:pStyle w:val="AllowPageBreak"/>
      </w:pPr>
    </w:p>
    <w:p w:rsidR="00000000" w:rsidRPr="006505D3" w:rsidP="006505D3">
      <w:pPr>
        <w:pStyle w:val="Heading1"/>
      </w:pPr>
      <w:bookmarkStart w:id="6" w:name="O_1293803"/>
      <w:bookmarkEnd w:id="6"/>
      <w:r w:rsidRPr="006505D3">
        <w:t>Foundation Skills</w:t>
      </w:r>
    </w:p>
    <w:p w:rsidR="00000000" w:rsidRPr="006505D3" w:rsidP="0092478F">
      <w:pPr>
        <w:pStyle w:val="BodyText"/>
      </w:pPr>
      <w:r w:rsidRPr="006505D3">
        <w:t>Foundation skills essentia</w:t>
      </w:r>
      <w:r w:rsidRPr="006505D3">
        <w:t xml:space="preserve">l to performance are explicit in the performance criteria of this unit of competency. </w:t>
      </w:r>
    </w:p>
    <w:p w:rsidR="00000000" w:rsidRPr="006505D3" w:rsidP="006505D3">
      <w:pPr>
        <w:pStyle w:val="Heading1"/>
      </w:pPr>
      <w:bookmarkStart w:id="7" w:name="O_1293802"/>
      <w:bookmarkEnd w:id="7"/>
      <w:r w:rsidRPr="006505D3">
        <w:t>Unit Mapping Information</w:t>
      </w:r>
    </w:p>
    <w:p w:rsidR="00000000" w:rsidRPr="006505D3" w:rsidP="0092478F">
      <w:pPr>
        <w:pStyle w:val="BodyText"/>
      </w:pPr>
      <w:r w:rsidRPr="006505D3">
        <w:t xml:space="preserve">Supersedes and is equivalent to CPCCLTC4001A Licence to operate a tower crane. </w:t>
      </w:r>
    </w:p>
    <w:p w:rsidR="00000000" w:rsidRPr="006505D3" w:rsidP="006505D3">
      <w:pPr>
        <w:pStyle w:val="Heading1"/>
      </w:pPr>
      <w:bookmarkStart w:id="8" w:name="O_1293809"/>
      <w:bookmarkEnd w:id="8"/>
      <w:r w:rsidRPr="006505D3">
        <w:t>Links</w:t>
      </w:r>
    </w:p>
    <w:p w:rsidR="00000000" w:rsidRPr="006505D3" w:rsidP="0092478F">
      <w:pPr>
        <w:pStyle w:val="BodyText"/>
      </w:pPr>
      <w:r w:rsidRPr="006505D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A7F2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505D3" w:rsidP="006505D3"/>
    <w:sectPr w:rsidSect="006505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D3" w:rsidRPr="0092478F" w:rsidP="009247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78F" w:rsidP="006505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78F" w:rsidP="006505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2478F" w:rsidP="006505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7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5D3" w:rsidRPr="0092478F" w:rsidP="009247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78F" w:rsidRPr="002D2AF8" w:rsidP="006505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CPCCLTC4001 Licence to operate a tower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2478F" w:rsidP="006505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5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5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5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5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5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5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5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5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5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5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5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5D3"/>
  </w:style>
  <w:style w:type="character" w:customStyle="1" w:styleId="Heading1Char">
    <w:name w:val="Heading 1 Char"/>
    <w:basedOn w:val="DefaultParagraphFont"/>
    <w:link w:val="Heading1"/>
    <w:rsid w:val="006505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5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5D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505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5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05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5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5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5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5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5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5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5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5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5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5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5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5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5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5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05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05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05D3"/>
    <w:rPr>
      <w:b/>
      <w:spacing w:val="0"/>
    </w:rPr>
  </w:style>
  <w:style w:type="paragraph" w:customStyle="1" w:styleId="SuperTitle">
    <w:name w:val="SuperTitle"/>
    <w:basedOn w:val="Title"/>
    <w:rsid w:val="006505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5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5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05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05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5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5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5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5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5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5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5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5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05D3"/>
    <w:rPr>
      <w:i/>
    </w:rPr>
  </w:style>
  <w:style w:type="paragraph" w:styleId="Caption">
    <w:name w:val="caption"/>
    <w:basedOn w:val="BodyText"/>
    <w:next w:val="Normal"/>
    <w:qFormat/>
    <w:rsid w:val="006505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5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5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5D3"/>
  </w:style>
  <w:style w:type="paragraph" w:styleId="TableofFigures">
    <w:name w:val="table of figures"/>
    <w:basedOn w:val="Normal"/>
    <w:next w:val="Normal"/>
    <w:semiHidden/>
    <w:rsid w:val="006505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5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505D3"/>
    <w:rPr>
      <w:rFonts w:ascii="Wingdings" w:hAnsi="Wingdings"/>
    </w:rPr>
  </w:style>
  <w:style w:type="paragraph" w:customStyle="1" w:styleId="TableHeading">
    <w:name w:val="Table Heading"/>
    <w:basedOn w:val="HeadingBase"/>
    <w:rsid w:val="006505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5D3"/>
    <w:rPr>
      <w:color w:val="0033CC"/>
      <w:u w:val="none"/>
    </w:rPr>
  </w:style>
  <w:style w:type="paragraph" w:customStyle="1" w:styleId="BodyTextRight">
    <w:name w:val="Body Text Right"/>
    <w:basedOn w:val="BodyText"/>
    <w:rsid w:val="006505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5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5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5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5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5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5D3"/>
    <w:rPr>
      <w:sz w:val="32"/>
    </w:rPr>
  </w:style>
  <w:style w:type="paragraph" w:customStyle="1" w:styleId="HeadingProcedure">
    <w:name w:val="Heading Procedure"/>
    <w:basedOn w:val="HeadingBase"/>
    <w:next w:val="Normal"/>
    <w:rsid w:val="006505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5D3"/>
    <w:pPr>
      <w:spacing w:before="60" w:after="60"/>
    </w:pPr>
  </w:style>
  <w:style w:type="paragraph" w:styleId="ListContinue">
    <w:name w:val="List Continue"/>
    <w:basedOn w:val="List"/>
    <w:rsid w:val="006505D3"/>
    <w:pPr>
      <w:ind w:firstLine="0"/>
    </w:pPr>
  </w:style>
  <w:style w:type="paragraph" w:customStyle="1" w:styleId="ListNote">
    <w:name w:val="List Note"/>
    <w:basedOn w:val="List"/>
    <w:rsid w:val="006505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5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5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5D3"/>
    <w:rPr>
      <w:rFonts w:ascii="Courier New" w:hAnsi="Courier New"/>
    </w:rPr>
  </w:style>
  <w:style w:type="paragraph" w:customStyle="1" w:styleId="NoteBullet">
    <w:name w:val="Note Bullet"/>
    <w:basedOn w:val="Note"/>
    <w:rsid w:val="006505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5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5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5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5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505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5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5D3"/>
    <w:rPr>
      <w:b/>
      <w:smallCaps/>
    </w:rPr>
  </w:style>
  <w:style w:type="paragraph" w:customStyle="1" w:styleId="TableListNumber">
    <w:name w:val="Table List Number"/>
    <w:basedOn w:val="ListNumber"/>
    <w:rsid w:val="006505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5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5D3"/>
    <w:pPr>
      <w:numPr>
        <w:numId w:val="7"/>
      </w:numPr>
    </w:pPr>
  </w:style>
  <w:style w:type="paragraph" w:customStyle="1" w:styleId="ListAlpha2">
    <w:name w:val="List Alpha 2"/>
    <w:basedOn w:val="List2"/>
    <w:rsid w:val="006505D3"/>
    <w:pPr>
      <w:numPr>
        <w:numId w:val="6"/>
      </w:numPr>
    </w:pPr>
  </w:style>
  <w:style w:type="paragraph" w:styleId="List2">
    <w:name w:val="List 2"/>
    <w:basedOn w:val="BodyText"/>
    <w:rsid w:val="006505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5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5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5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5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5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05D3"/>
    <w:pPr>
      <w:numPr>
        <w:numId w:val="2"/>
      </w:numPr>
    </w:pPr>
  </w:style>
  <w:style w:type="paragraph" w:styleId="ListContinue2">
    <w:name w:val="List Continue 2"/>
    <w:basedOn w:val="List2"/>
    <w:rsid w:val="006505D3"/>
    <w:pPr>
      <w:ind w:firstLine="0"/>
    </w:pPr>
  </w:style>
  <w:style w:type="paragraph" w:styleId="ListContinue3">
    <w:name w:val="List Continue 3"/>
    <w:basedOn w:val="List3"/>
    <w:rsid w:val="006505D3"/>
    <w:pPr>
      <w:ind w:left="1021" w:firstLine="0"/>
    </w:pPr>
  </w:style>
  <w:style w:type="paragraph" w:styleId="ListContinue4">
    <w:name w:val="List Continue 4"/>
    <w:basedOn w:val="List4"/>
    <w:rsid w:val="006505D3"/>
    <w:pPr>
      <w:ind w:firstLine="0"/>
    </w:pPr>
  </w:style>
  <w:style w:type="paragraph" w:styleId="ListContinue5">
    <w:name w:val="List Continue 5"/>
    <w:basedOn w:val="List5"/>
    <w:rsid w:val="006505D3"/>
    <w:pPr>
      <w:ind w:firstLine="0"/>
    </w:pPr>
  </w:style>
  <w:style w:type="paragraph" w:styleId="ListNumber3">
    <w:name w:val="List Number 3"/>
    <w:basedOn w:val="List3"/>
    <w:rsid w:val="006505D3"/>
    <w:pPr>
      <w:numPr>
        <w:numId w:val="3"/>
      </w:numPr>
    </w:pPr>
  </w:style>
  <w:style w:type="paragraph" w:styleId="ListNumber4">
    <w:name w:val="List Number 4"/>
    <w:basedOn w:val="List4"/>
    <w:rsid w:val="006505D3"/>
    <w:pPr>
      <w:numPr>
        <w:numId w:val="4"/>
      </w:numPr>
    </w:pPr>
  </w:style>
  <w:style w:type="paragraph" w:styleId="ListNumber5">
    <w:name w:val="List Number 5"/>
    <w:basedOn w:val="List5"/>
    <w:rsid w:val="006505D3"/>
    <w:pPr>
      <w:numPr>
        <w:numId w:val="5"/>
      </w:numPr>
    </w:pPr>
  </w:style>
  <w:style w:type="paragraph" w:styleId="BlockText">
    <w:name w:val="Block Text"/>
    <w:basedOn w:val="Normal"/>
    <w:rsid w:val="006505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5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5D3"/>
    <w:rPr>
      <w:sz w:val="16"/>
      <w:vertAlign w:val="superscript"/>
    </w:rPr>
  </w:style>
  <w:style w:type="character" w:customStyle="1" w:styleId="Symbols">
    <w:name w:val="Symbols"/>
    <w:basedOn w:val="DefaultParagraphFont"/>
    <w:rsid w:val="006505D3"/>
    <w:rPr>
      <w:rFonts w:ascii="Symbol" w:hAnsi="Symbol"/>
    </w:rPr>
  </w:style>
  <w:style w:type="character" w:customStyle="1" w:styleId="MenuOptions">
    <w:name w:val="Menu Options"/>
    <w:basedOn w:val="DefaultParagraphFont"/>
    <w:rsid w:val="006505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5D3"/>
    <w:rPr>
      <w:b/>
    </w:rPr>
  </w:style>
  <w:style w:type="character" w:customStyle="1" w:styleId="Underlined">
    <w:name w:val="Underlined"/>
    <w:basedOn w:val="DefaultParagraphFont"/>
    <w:rsid w:val="006505D3"/>
    <w:rPr>
      <w:u w:val="single"/>
    </w:rPr>
  </w:style>
  <w:style w:type="paragraph" w:customStyle="1" w:styleId="TableBodyTextRight">
    <w:name w:val="Table Body Text Right"/>
    <w:basedOn w:val="TableBodyText"/>
    <w:rsid w:val="006505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5D3"/>
    <w:rPr>
      <w:sz w:val="18"/>
    </w:rPr>
  </w:style>
  <w:style w:type="paragraph" w:customStyle="1" w:styleId="BodySmallRight">
    <w:name w:val="Body Small Right"/>
    <w:basedOn w:val="BodyTextRight"/>
    <w:rsid w:val="006505D3"/>
    <w:rPr>
      <w:sz w:val="18"/>
      <w:szCs w:val="18"/>
    </w:rPr>
  </w:style>
  <w:style w:type="paragraph" w:customStyle="1" w:styleId="MarginEdition">
    <w:name w:val="Margin Edition"/>
    <w:basedOn w:val="MarginNote"/>
    <w:rsid w:val="006505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5D3"/>
    <w:rPr>
      <w:sz w:val="2"/>
      <w:szCs w:val="2"/>
    </w:rPr>
  </w:style>
  <w:style w:type="character" w:customStyle="1" w:styleId="Small">
    <w:name w:val="Small"/>
    <w:basedOn w:val="DefaultParagraphFont"/>
    <w:rsid w:val="006505D3"/>
    <w:rPr>
      <w:sz w:val="16"/>
    </w:rPr>
  </w:style>
  <w:style w:type="paragraph" w:customStyle="1" w:styleId="WideTable">
    <w:name w:val="Wide Table"/>
    <w:basedOn w:val="Normal"/>
    <w:rsid w:val="006505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5D3"/>
  </w:style>
  <w:style w:type="paragraph" w:styleId="Quote">
    <w:name w:val="Quote"/>
    <w:basedOn w:val="Heading1"/>
    <w:link w:val="QuoteChar"/>
    <w:qFormat/>
    <w:rsid w:val="006505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5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5D3"/>
    <w:pPr>
      <w:pageBreakBefore/>
    </w:pPr>
  </w:style>
  <w:style w:type="paragraph" w:customStyle="1" w:styleId="Border">
    <w:name w:val="Border"/>
    <w:basedOn w:val="Normal"/>
    <w:qFormat/>
    <w:rsid w:val="006505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5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5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5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5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5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5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5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5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5D3"/>
    <w:rPr>
      <w:u w:val="single"/>
    </w:rPr>
  </w:style>
  <w:style w:type="character" w:customStyle="1" w:styleId="BoldandItalics">
    <w:name w:val="Bold and Italics"/>
    <w:qFormat/>
    <w:rsid w:val="006505D3"/>
    <w:rPr>
      <w:b/>
      <w:i/>
      <w:u w:val="none"/>
    </w:rPr>
  </w:style>
  <w:style w:type="paragraph" w:styleId="BalloonText">
    <w:name w:val="Balloon Text"/>
    <w:basedOn w:val="Normal"/>
    <w:link w:val="BalloonTextChar"/>
    <w:rsid w:val="006505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5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5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5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5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5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5D3"/>
    <w:pPr>
      <w:spacing w:before="0" w:after="0"/>
    </w:pPr>
  </w:style>
  <w:style w:type="paragraph" w:customStyle="1" w:styleId="BodyTextBold">
    <w:name w:val="Body Text Bold"/>
    <w:basedOn w:val="BodyText"/>
    <w:qFormat/>
    <w:rsid w:val="006505D3"/>
    <w:rPr>
      <w:b/>
    </w:rPr>
  </w:style>
  <w:style w:type="character" w:styleId="Hyperlink">
    <w:name w:val="Hyperlink"/>
    <w:basedOn w:val="DefaultParagraphFont"/>
    <w:uiPriority w:val="99"/>
    <w:unhideWhenUsed/>
    <w:rsid w:val="009247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4802</Characters>
  <Application>Microsoft Office Word</Application>
  <DocSecurity>0</DocSecurity>
  <Lines>228</Lines>
  <Paragraphs>114</Paragraphs>
  <ScaleCrop>false</ScaleCrop>
  <Company>Author-it Software Corporation Ltd.</Company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CPCCLTC4001 Licence to operate a tower crane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