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AAF" w:rsidP="00427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CPCCLSF3001 Licence to erect, alter and dismantle scaffolding intermediate level</w:t>
      </w:r>
      <w:r>
        <w:fldChar w:fldCharType="end"/>
      </w:r>
    </w:p>
    <w:p w:rsidR="00427AAF" w:rsidP="00427AAF">
      <w:pPr>
        <w:pStyle w:val="Version"/>
        <w:sectPr w:rsidSect="001C4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C46C6" w:rsidP="001C46C6">
      <w:pPr>
        <w:pStyle w:val="SuperHeading"/>
      </w:pPr>
      <w:r w:rsidRPr="001C46C6">
        <w:t>CPCCLSF3001 Licence to erect, alt</w:t>
      </w:r>
      <w:r w:rsidRPr="001C46C6">
        <w:t>er and dismantle scaffolding intermediate level</w:t>
      </w:r>
    </w:p>
    <w:p w:rsidR="00000000" w:rsidRPr="001C46C6" w:rsidP="001C46C6">
      <w:pPr>
        <w:pStyle w:val="Heading1"/>
      </w:pPr>
      <w:bookmarkStart w:id="1" w:name="O_1293920"/>
      <w:bookmarkEnd w:id="1"/>
      <w:r w:rsidRPr="001C4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Updated reference to general construction induction training program.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C6" w:rsidP="001C46C6">
            <w:pPr>
              <w:pStyle w:val="BodyText"/>
            </w:pPr>
            <w:r w:rsidRPr="001C46C6">
              <w:t>This version first released with CPC Construction, Plumbing and Services Training Package Release 8.0.</w:t>
            </w:r>
          </w:p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Change to the Application of the unit.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C6" w:rsidP="001C46C6">
            <w:pPr>
              <w:pStyle w:val="BodyText"/>
            </w:pPr>
            <w:r w:rsidRPr="001C46C6">
              <w:t>This version first released with CPC Construction, Plumbing and Services Training Package Release 5.0.</w:t>
            </w:r>
          </w:p>
          <w:p w:rsidR="00000000" w:rsidRPr="001C46C6" w:rsidP="001C46C6">
            <w:pPr>
              <w:pStyle w:val="BodyText"/>
            </w:pPr>
            <w:r w:rsidRPr="001C46C6">
              <w:t>Supersedes and is equivalent to CPCCLSF3001A Licence to erect, alter and dismantle scaffolding intermediate level.   Updated to meet the Standards for Training Packages 2012.</w:t>
            </w:r>
          </w:p>
        </w:tc>
      </w:tr>
    </w:tbl>
    <w:p w:rsidR="00000000" w:rsidRPr="001C46C6" w:rsidP="001C46C6">
      <w:pPr>
        <w:pStyle w:val="BodyText"/>
      </w:pPr>
    </w:p>
    <w:p w:rsidR="00000000" w:rsidRPr="001C46C6" w:rsidP="001C46C6">
      <w:pPr>
        <w:pStyle w:val="AllowPageBreak"/>
      </w:pPr>
    </w:p>
    <w:p w:rsidR="00000000" w:rsidRPr="001C46C6" w:rsidP="001C46C6">
      <w:pPr>
        <w:pStyle w:val="Heading1"/>
      </w:pPr>
      <w:bookmarkStart w:id="2" w:name="O_1293919"/>
      <w:bookmarkEnd w:id="2"/>
      <w:r w:rsidRPr="001C46C6">
        <w:t>Application</w:t>
      </w:r>
    </w:p>
    <w:p w:rsidR="00000000" w:rsidRPr="001C46C6" w:rsidP="00427AAF">
      <w:pPr>
        <w:pStyle w:val="BodyText"/>
      </w:pPr>
      <w:r w:rsidRPr="001C46C6">
        <w:t>This unit specifies the skills and knowledge req</w:t>
      </w:r>
      <w:r w:rsidRPr="001C46C6">
        <w:t>uired to safely perform intermediate scaffolding work.</w:t>
      </w:r>
    </w:p>
    <w:p w:rsidR="00000000" w:rsidRPr="001C46C6" w:rsidP="00427AAF">
      <w:pPr>
        <w:pStyle w:val="BodyText"/>
      </w:pPr>
      <w:r w:rsidRPr="001C46C6">
        <w:t xml:space="preserve">Scaffolding work involves erecting, altering or dismantling a temporary structure to support a platform from which a person or object could fall more than four metres. </w:t>
      </w:r>
    </w:p>
    <w:p w:rsidR="00000000" w:rsidRPr="001C46C6" w:rsidP="00427AAF">
      <w:pPr>
        <w:pStyle w:val="BodyText"/>
      </w:pPr>
      <w:r w:rsidRPr="001C46C6">
        <w:t>This unit applies to scaffolding</w:t>
      </w:r>
      <w:r w:rsidRPr="001C46C6">
        <w:t xml:space="preserve"> work involving:</w:t>
      </w:r>
    </w:p>
    <w:p w:rsidR="00000000" w:rsidRPr="001C46C6" w:rsidP="001C46C6">
      <w:pPr>
        <w:pStyle w:val="ListBullet"/>
      </w:pPr>
      <w:r w:rsidRPr="001C46C6">
        <w:t xml:space="preserve">cantilevered crane loading platforms </w:t>
      </w:r>
    </w:p>
    <w:p w:rsidR="00000000" w:rsidRPr="001C46C6" w:rsidP="001C46C6">
      <w:pPr>
        <w:pStyle w:val="ListBullet"/>
      </w:pPr>
      <w:r w:rsidRPr="001C46C6">
        <w:t>cantilevered scaffolds</w:t>
      </w:r>
    </w:p>
    <w:p w:rsidR="00000000" w:rsidRPr="001C46C6" w:rsidP="001C46C6">
      <w:pPr>
        <w:pStyle w:val="ListBullet"/>
      </w:pPr>
      <w:r w:rsidRPr="001C46C6">
        <w:t xml:space="preserve">spur scaffolds </w:t>
      </w:r>
    </w:p>
    <w:p w:rsidR="00000000" w:rsidRPr="001C46C6" w:rsidP="001C46C6">
      <w:pPr>
        <w:pStyle w:val="ListBullet"/>
      </w:pPr>
      <w:r w:rsidRPr="001C46C6">
        <w:t xml:space="preserve">barrow ramps and sloping platforms </w:t>
      </w:r>
    </w:p>
    <w:p w:rsidR="00000000" w:rsidRPr="001C46C6" w:rsidP="001C46C6">
      <w:pPr>
        <w:pStyle w:val="ListBullet"/>
      </w:pPr>
      <w:r w:rsidRPr="001C46C6">
        <w:t xml:space="preserve">scaffolding associated with perimeter safety screens and shutters </w:t>
      </w:r>
    </w:p>
    <w:p w:rsidR="00000000" w:rsidRPr="001C46C6" w:rsidP="001C46C6">
      <w:pPr>
        <w:pStyle w:val="ListBullet"/>
      </w:pPr>
      <w:r w:rsidRPr="001C46C6">
        <w:t>mast climbing work platforms</w:t>
      </w:r>
    </w:p>
    <w:p w:rsidR="00000000" w:rsidRPr="001C46C6" w:rsidP="001C46C6">
      <w:pPr>
        <w:pStyle w:val="ListBullet"/>
      </w:pPr>
      <w:r w:rsidRPr="001C46C6">
        <w:t xml:space="preserve">tube and coupler scaffolds (including tube and coupler covered ways and gantries). </w:t>
      </w:r>
    </w:p>
    <w:p w:rsidR="00000000" w:rsidRPr="001C46C6" w:rsidP="00427AAF">
      <w:pPr>
        <w:pStyle w:val="BodyText"/>
      </w:pPr>
      <w:r w:rsidRPr="001C46C6">
        <w:t xml:space="preserve">Scaffolding work is undertaken in construction and other industries where temporary structures are erected, altered and dismantled. </w:t>
      </w:r>
    </w:p>
    <w:p w:rsidR="00000000" w:rsidRPr="001C46C6" w:rsidP="00427AAF">
      <w:pPr>
        <w:pStyle w:val="BodyText"/>
      </w:pPr>
      <w:r w:rsidRPr="001C46C6">
        <w:t xml:space="preserve">Completion of the general construction </w:t>
      </w:r>
      <w:r w:rsidRPr="001C46C6">
        <w:t xml:space="preserve">induction training program, specified in the Safe Work Australia model </w:t>
      </w:r>
      <w:r w:rsidRPr="001C46C6">
        <w:rPr>
          <w:rStyle w:val="Emphasis"/>
        </w:rPr>
        <w:t>Code of Practice: Construction Work</w:t>
      </w:r>
      <w:r w:rsidRPr="001C46C6">
        <w:t xml:space="preserve">, is required by anyone carrying out construction work. Achievement of </w:t>
      </w:r>
      <w:r w:rsidRPr="001C46C6">
        <w:rPr>
          <w:rStyle w:val="Emphasis"/>
        </w:rPr>
        <w:t>CPCWHS1001</w:t>
      </w:r>
      <w:r w:rsidRPr="001C46C6">
        <w:t xml:space="preserve"> </w:t>
      </w:r>
      <w:r w:rsidRPr="001C46C6">
        <w:rPr>
          <w:rStyle w:val="Emphasis"/>
        </w:rPr>
        <w:t xml:space="preserve">Prepare to work safely in the construction industry </w:t>
      </w:r>
      <w:r w:rsidRPr="001C46C6">
        <w:t>meets this requi</w:t>
      </w:r>
      <w:r w:rsidRPr="001C46C6">
        <w:t>rement.</w:t>
      </w:r>
    </w:p>
    <w:p w:rsidR="00000000" w:rsidRPr="001C46C6" w:rsidP="00427AAF">
      <w:pPr>
        <w:pStyle w:val="BodyText"/>
      </w:pPr>
      <w:r w:rsidRPr="001C46C6">
        <w:t>This unit has a pre-requisite requirement. This requirement may be met by either the successful completion of the unit </w:t>
      </w:r>
      <w:r w:rsidRPr="001C46C6">
        <w:rPr>
          <w:rStyle w:val="Emphasis"/>
        </w:rPr>
        <w:t>CPCCLSF2001 Licence to erect</w:t>
      </w:r>
      <w:r w:rsidRPr="001C46C6">
        <w:t> </w:t>
      </w:r>
      <w:r w:rsidRPr="001C46C6">
        <w:rPr>
          <w:rStyle w:val="Emphasis"/>
        </w:rPr>
        <w:t>alter and dismantle scaffolding basic level </w:t>
      </w:r>
      <w:r w:rsidRPr="001C46C6">
        <w:t>or holding a valid licence for basic scaffolding.</w:t>
      </w:r>
    </w:p>
    <w:p w:rsidR="00000000" w:rsidRPr="001C46C6" w:rsidP="00427AAF">
      <w:pPr>
        <w:pStyle w:val="BodyText"/>
      </w:pPr>
      <w:r w:rsidRPr="001C46C6">
        <w:t>Compet</w:t>
      </w:r>
      <w:r w:rsidRPr="001C46C6">
        <w:t xml:space="preserve">ence in this unit does not in itself result in a licence. A licence is obtained after competence is assessed under applicable Commonwealth, state or territory work health and safety (WHS) regulations. </w:t>
      </w:r>
    </w:p>
    <w:p w:rsidR="00000000" w:rsidRPr="001C46C6" w:rsidP="001C46C6">
      <w:pPr>
        <w:pStyle w:val="Heading1"/>
      </w:pPr>
      <w:bookmarkStart w:id="3" w:name="O_1293918"/>
      <w:bookmarkEnd w:id="3"/>
      <w:r w:rsidRPr="001C46C6">
        <w:t>Pre-requisite Unit</w:t>
      </w:r>
    </w:p>
    <w:p w:rsidR="00000000" w:rsidRPr="001C46C6" w:rsidP="00427AAF">
      <w:pPr>
        <w:pStyle w:val="BodyText"/>
      </w:pPr>
      <w:r w:rsidRPr="001C46C6">
        <w:t>CPCCLSF2001 Lice</w:t>
      </w:r>
      <w:r w:rsidRPr="001C46C6">
        <w:t>nce to erect, alter and dismantle scaffolding basic level</w:t>
      </w:r>
    </w:p>
    <w:p w:rsidR="00000000" w:rsidRPr="001C46C6" w:rsidP="001C46C6">
      <w:pPr>
        <w:pStyle w:val="Heading1"/>
      </w:pPr>
      <w:bookmarkStart w:id="4" w:name="O_1293917"/>
      <w:bookmarkEnd w:id="4"/>
      <w:r w:rsidRPr="001C46C6">
        <w:t>Unit Sector</w:t>
      </w:r>
    </w:p>
    <w:p w:rsidR="00000000" w:rsidRPr="001C46C6" w:rsidP="00427AAF">
      <w:pPr>
        <w:pStyle w:val="BodyText"/>
      </w:pPr>
      <w:r w:rsidRPr="001C46C6">
        <w:t>Licencing</w:t>
      </w:r>
    </w:p>
    <w:p w:rsidR="00000000" w:rsidRPr="001C46C6" w:rsidP="001C46C6">
      <w:pPr>
        <w:pStyle w:val="Heading1"/>
      </w:pPr>
      <w:bookmarkStart w:id="5" w:name="O_1293916"/>
      <w:bookmarkEnd w:id="5"/>
      <w:r w:rsidRPr="001C46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Performance criteria describe what needs to be done to demonstrate achievement of the element.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Review task instructions, consult with relevant persons to seek clarification as required, and obtain relevant workplace information.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O</w:t>
            </w:r>
            <w:r w:rsidRPr="001C46C6">
              <w:t>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Obtain and interpret information required to ensure that equipment inspection, use, maintenance and storage complies with manufacturer requirements.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Identify workplace and task-specific hazards and determine required risk controls and safety measure</w:t>
            </w:r>
            <w:r w:rsidRPr="001C46C6">
              <w:t>s and equipment, including signs and barricades, personal protective equipment (PPE), and fall prevention and fall arrest equipment.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Identify methods of moving and placing tools, equipment and materials to minimise the risk of falling objects, to av</w:t>
            </w:r>
            <w:r w:rsidRPr="001C46C6">
              <w:t>oid inappropriate carrying on ladders and to minimise hazardous manual tasks.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Identify required scaffold and associated equipment.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Calculate loads exerted on and by the scaffold and scaffolding equipment.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 xml:space="preserve">Establish required communication methods with relevant </w:t>
            </w:r>
            <w:r w:rsidRPr="001C46C6">
              <w:t>persons.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Select and inspect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Select risk-control equipment, including fall prevention and fall arrest equipment, and check that it is working and fit for purpose.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Select and check PPE.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Inspect scaffold and associated equipment for defects, and isolate, tag out, report and record defective items.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Select communication equipment and check that it is working and fit for use.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Ensure risk controls and safety measures and equipment have been put in place, including the fitting, adjusting and anchoring of fall protection equipment.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Consult with relevant persons to ensure that ground and foundation have been assessed as suit</w:t>
            </w:r>
            <w:r w:rsidRPr="001C46C6">
              <w:t>able for task.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Prepare footings to support scaffold and scaffold equipment.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Prepare scaffold and scaffold equipment, and place in a stable position ready for erection.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Undertake intermediate scaffolding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Erect and dismantle scaffold and equipment while maintaining stability, in accordance with workplace and manufacturer requirements.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Erect and dismantle cantilevered crane loading platforms.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 xml:space="preserve">Erect and dismantle cantilevered scaffolds. 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Erect and dismantle spur scaffolds.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Erect and dismantle barrow ramps and sloping platforms.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Erect and dismantle scaffolding associated with perimeter safety screens or shutters.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 xml:space="preserve">Erect and dismantle mast climbing work platforms. 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Erect tube and coupler scaffolds, including tube and coupler covered ways and gantries.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Remove excess materials from work area.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Inspect completed scaffolding task for compliance with task requirements, complete handover certificate and forward to relevant persons, and complete and attach scaffold tag.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 xml:space="preserve">Inspect scaffold and scaffold equipment for defects, and isolate, tag out </w:t>
            </w:r>
            <w:r w:rsidRPr="001C46C6">
              <w:t>and report defective items.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Store scaffold and scaffold equipment in accordance with workplace requirements.</w:t>
            </w:r>
          </w:p>
        </w:tc>
      </w:tr>
      <w:tr w:rsidTr="001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6C6">
            <w:pPr>
              <w:pStyle w:val="BodyText"/>
              <w:rPr>
                <w:lang w:val="en-NZ"/>
              </w:rPr>
            </w:pPr>
            <w:r w:rsidRPr="001C46C6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6C6" w:rsidP="001C46C6">
            <w:pPr>
              <w:pStyle w:val="BodyText"/>
            </w:pPr>
            <w:r w:rsidRPr="001C46C6">
              <w:t>Remove risk controls and safety measures and equipment.</w:t>
            </w:r>
          </w:p>
        </w:tc>
      </w:tr>
    </w:tbl>
    <w:p w:rsidR="00000000" w:rsidRPr="001C46C6" w:rsidP="001C46C6">
      <w:pPr>
        <w:pStyle w:val="BodyText"/>
      </w:pPr>
    </w:p>
    <w:p w:rsidR="00000000" w:rsidRPr="001C46C6" w:rsidP="001C46C6">
      <w:pPr>
        <w:pStyle w:val="AllowPageBreak"/>
      </w:pPr>
    </w:p>
    <w:p w:rsidR="00000000" w:rsidRPr="001C46C6" w:rsidP="001C46C6">
      <w:pPr>
        <w:pStyle w:val="Heading1"/>
      </w:pPr>
      <w:bookmarkStart w:id="6" w:name="O_1293915"/>
      <w:bookmarkEnd w:id="6"/>
      <w:r w:rsidRPr="001C46C6">
        <w:t>Foundation Skills</w:t>
      </w:r>
    </w:p>
    <w:p w:rsidR="00000000" w:rsidRPr="001C46C6" w:rsidP="00427AAF">
      <w:pPr>
        <w:pStyle w:val="BodyText"/>
      </w:pPr>
      <w:r w:rsidRPr="001C46C6">
        <w:t xml:space="preserve">Foundation skills essential to performance are explicit in the performance criteria of this unit of competency. </w:t>
      </w:r>
    </w:p>
    <w:p w:rsidR="00000000" w:rsidRPr="001C46C6" w:rsidP="001C46C6">
      <w:pPr>
        <w:pStyle w:val="Heading1"/>
      </w:pPr>
      <w:bookmarkStart w:id="7" w:name="O_1293914"/>
      <w:bookmarkEnd w:id="7"/>
      <w:r w:rsidRPr="001C46C6">
        <w:t>Unit Mapping Information</w:t>
      </w:r>
    </w:p>
    <w:p w:rsidR="00000000" w:rsidRPr="001C46C6" w:rsidP="00427AAF">
      <w:pPr>
        <w:pStyle w:val="BodyText"/>
      </w:pPr>
      <w:r w:rsidRPr="001C46C6">
        <w:t>Supersedes and is equivalent to CPCCLSF3001A Licence to erect, alter and dismantle scaffolding inte</w:t>
      </w:r>
      <w:r w:rsidRPr="001C46C6">
        <w:t xml:space="preserve">rmediate level. </w:t>
      </w:r>
    </w:p>
    <w:p w:rsidR="00000000" w:rsidRPr="001C46C6" w:rsidP="001C46C6">
      <w:pPr>
        <w:pStyle w:val="Heading1"/>
      </w:pPr>
      <w:bookmarkStart w:id="8" w:name="O_1293921"/>
      <w:bookmarkEnd w:id="8"/>
      <w:r w:rsidRPr="001C46C6">
        <w:t>Links</w:t>
      </w:r>
    </w:p>
    <w:p w:rsidR="00000000" w:rsidRPr="001C46C6" w:rsidP="00427AAF">
      <w:pPr>
        <w:pStyle w:val="BodyText"/>
      </w:pPr>
      <w:r w:rsidRPr="001C46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F30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C46C6" w:rsidP="001C46C6"/>
    <w:sectPr w:rsidSect="001C4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C6" w:rsidRPr="00427AAF" w:rsidP="00427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F" w:rsidP="001C4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AAF" w:rsidP="001C4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27AAF" w:rsidP="001C4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6C6" w:rsidRPr="00427AAF" w:rsidP="00427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F" w:rsidRPr="002D2AF8" w:rsidP="001C4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CPCCLSF3001 Licence to erect, alter and dismantle scaffolding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27AAF" w:rsidP="001C4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82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720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6C6"/>
  </w:style>
  <w:style w:type="character" w:customStyle="1" w:styleId="Heading1Char">
    <w:name w:val="Heading 1 Char"/>
    <w:basedOn w:val="DefaultParagraphFont"/>
    <w:link w:val="Heading1"/>
    <w:rsid w:val="001C4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6C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46C6"/>
    <w:rPr>
      <w:i/>
    </w:rPr>
  </w:style>
  <w:style w:type="paragraph" w:customStyle="1" w:styleId="SuperHeading">
    <w:name w:val="SuperHeading"/>
    <w:basedOn w:val="Normal"/>
    <w:rsid w:val="001C4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6C6"/>
    <w:rPr>
      <w:b/>
      <w:spacing w:val="0"/>
    </w:rPr>
  </w:style>
  <w:style w:type="paragraph" w:customStyle="1" w:styleId="SuperTitle">
    <w:name w:val="SuperTitle"/>
    <w:basedOn w:val="Title"/>
    <w:rsid w:val="001C4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6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6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6C6"/>
  </w:style>
  <w:style w:type="paragraph" w:styleId="TableofFigures">
    <w:name w:val="table of figures"/>
    <w:basedOn w:val="Normal"/>
    <w:next w:val="Normal"/>
    <w:semiHidden/>
    <w:rsid w:val="001C4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6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46C6"/>
    <w:rPr>
      <w:rFonts w:ascii="Wingdings" w:hAnsi="Wingdings"/>
    </w:rPr>
  </w:style>
  <w:style w:type="paragraph" w:customStyle="1" w:styleId="TableHeading">
    <w:name w:val="Table Heading"/>
    <w:basedOn w:val="HeadingBase"/>
    <w:rsid w:val="001C4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6C6"/>
    <w:rPr>
      <w:color w:val="0033CC"/>
      <w:u w:val="none"/>
    </w:rPr>
  </w:style>
  <w:style w:type="paragraph" w:customStyle="1" w:styleId="BodyTextRight">
    <w:name w:val="Body Text Right"/>
    <w:basedOn w:val="BodyText"/>
    <w:rsid w:val="001C4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6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6C6"/>
    <w:rPr>
      <w:sz w:val="32"/>
    </w:rPr>
  </w:style>
  <w:style w:type="paragraph" w:customStyle="1" w:styleId="HeadingProcedure">
    <w:name w:val="Heading Procedure"/>
    <w:basedOn w:val="HeadingBase"/>
    <w:next w:val="Normal"/>
    <w:rsid w:val="001C4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6C6"/>
    <w:pPr>
      <w:spacing w:before="60" w:after="60"/>
    </w:pPr>
  </w:style>
  <w:style w:type="paragraph" w:styleId="ListContinue">
    <w:name w:val="List Continue"/>
    <w:basedOn w:val="List"/>
    <w:rsid w:val="001C46C6"/>
    <w:pPr>
      <w:ind w:firstLine="0"/>
    </w:pPr>
  </w:style>
  <w:style w:type="paragraph" w:customStyle="1" w:styleId="ListNote">
    <w:name w:val="List Note"/>
    <w:basedOn w:val="List"/>
    <w:rsid w:val="001C4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6C6"/>
    <w:rPr>
      <w:rFonts w:ascii="Courier New" w:hAnsi="Courier New"/>
    </w:rPr>
  </w:style>
  <w:style w:type="paragraph" w:customStyle="1" w:styleId="NoteBullet">
    <w:name w:val="Note Bullet"/>
    <w:basedOn w:val="Note"/>
    <w:rsid w:val="001C4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6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4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6C6"/>
    <w:rPr>
      <w:b/>
      <w:smallCaps/>
    </w:rPr>
  </w:style>
  <w:style w:type="paragraph" w:customStyle="1" w:styleId="TableListNumber">
    <w:name w:val="Table List Number"/>
    <w:basedOn w:val="ListNumber"/>
    <w:rsid w:val="001C4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6C6"/>
    <w:pPr>
      <w:numPr>
        <w:numId w:val="8"/>
      </w:numPr>
    </w:pPr>
  </w:style>
  <w:style w:type="paragraph" w:customStyle="1" w:styleId="ListAlpha2">
    <w:name w:val="List Alpha 2"/>
    <w:basedOn w:val="List2"/>
    <w:rsid w:val="001C46C6"/>
    <w:pPr>
      <w:numPr>
        <w:numId w:val="7"/>
      </w:numPr>
    </w:pPr>
  </w:style>
  <w:style w:type="paragraph" w:styleId="List2">
    <w:name w:val="List 2"/>
    <w:basedOn w:val="BodyText"/>
    <w:rsid w:val="001C4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6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6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46C6"/>
    <w:pPr>
      <w:numPr>
        <w:numId w:val="3"/>
      </w:numPr>
    </w:pPr>
  </w:style>
  <w:style w:type="paragraph" w:styleId="ListContinue2">
    <w:name w:val="List Continue 2"/>
    <w:basedOn w:val="List2"/>
    <w:rsid w:val="001C46C6"/>
    <w:pPr>
      <w:ind w:firstLine="0"/>
    </w:pPr>
  </w:style>
  <w:style w:type="paragraph" w:styleId="ListContinue3">
    <w:name w:val="List Continue 3"/>
    <w:basedOn w:val="List3"/>
    <w:rsid w:val="001C46C6"/>
    <w:pPr>
      <w:ind w:left="1021" w:firstLine="0"/>
    </w:pPr>
  </w:style>
  <w:style w:type="paragraph" w:styleId="ListContinue4">
    <w:name w:val="List Continue 4"/>
    <w:basedOn w:val="List4"/>
    <w:rsid w:val="001C46C6"/>
    <w:pPr>
      <w:ind w:firstLine="0"/>
    </w:pPr>
  </w:style>
  <w:style w:type="paragraph" w:styleId="ListContinue5">
    <w:name w:val="List Continue 5"/>
    <w:basedOn w:val="List5"/>
    <w:rsid w:val="001C46C6"/>
    <w:pPr>
      <w:ind w:firstLine="0"/>
    </w:pPr>
  </w:style>
  <w:style w:type="paragraph" w:styleId="ListNumber3">
    <w:name w:val="List Number 3"/>
    <w:basedOn w:val="List3"/>
    <w:rsid w:val="001C46C6"/>
    <w:pPr>
      <w:numPr>
        <w:numId w:val="4"/>
      </w:numPr>
    </w:pPr>
  </w:style>
  <w:style w:type="paragraph" w:styleId="ListNumber4">
    <w:name w:val="List Number 4"/>
    <w:basedOn w:val="List4"/>
    <w:rsid w:val="001C46C6"/>
    <w:pPr>
      <w:numPr>
        <w:numId w:val="5"/>
      </w:numPr>
    </w:pPr>
  </w:style>
  <w:style w:type="paragraph" w:styleId="ListNumber5">
    <w:name w:val="List Number 5"/>
    <w:basedOn w:val="List5"/>
    <w:rsid w:val="001C46C6"/>
    <w:pPr>
      <w:numPr>
        <w:numId w:val="6"/>
      </w:numPr>
    </w:pPr>
  </w:style>
  <w:style w:type="paragraph" w:styleId="BlockText">
    <w:name w:val="Block Text"/>
    <w:basedOn w:val="Normal"/>
    <w:rsid w:val="001C4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6C6"/>
    <w:rPr>
      <w:sz w:val="16"/>
      <w:vertAlign w:val="superscript"/>
    </w:rPr>
  </w:style>
  <w:style w:type="character" w:customStyle="1" w:styleId="Symbols">
    <w:name w:val="Symbols"/>
    <w:basedOn w:val="DefaultParagraphFont"/>
    <w:rsid w:val="001C46C6"/>
    <w:rPr>
      <w:rFonts w:ascii="Symbol" w:hAnsi="Symbol"/>
    </w:rPr>
  </w:style>
  <w:style w:type="character" w:customStyle="1" w:styleId="MenuOptions">
    <w:name w:val="Menu Options"/>
    <w:basedOn w:val="DefaultParagraphFont"/>
    <w:rsid w:val="001C4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6C6"/>
    <w:rPr>
      <w:b/>
    </w:rPr>
  </w:style>
  <w:style w:type="character" w:customStyle="1" w:styleId="Underlined">
    <w:name w:val="Underlined"/>
    <w:basedOn w:val="DefaultParagraphFont"/>
    <w:rsid w:val="001C46C6"/>
    <w:rPr>
      <w:u w:val="single"/>
    </w:rPr>
  </w:style>
  <w:style w:type="paragraph" w:customStyle="1" w:styleId="TableBodyTextRight">
    <w:name w:val="Table Body Text Right"/>
    <w:basedOn w:val="TableBodyText"/>
    <w:rsid w:val="001C4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6C6"/>
    <w:rPr>
      <w:sz w:val="18"/>
    </w:rPr>
  </w:style>
  <w:style w:type="paragraph" w:customStyle="1" w:styleId="BodySmallRight">
    <w:name w:val="Body Small Right"/>
    <w:basedOn w:val="BodyTextRight"/>
    <w:rsid w:val="001C46C6"/>
    <w:rPr>
      <w:sz w:val="18"/>
      <w:szCs w:val="18"/>
    </w:rPr>
  </w:style>
  <w:style w:type="paragraph" w:customStyle="1" w:styleId="MarginEdition">
    <w:name w:val="Margin Edition"/>
    <w:basedOn w:val="MarginNote"/>
    <w:rsid w:val="001C4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6C6"/>
    <w:rPr>
      <w:sz w:val="2"/>
      <w:szCs w:val="2"/>
    </w:rPr>
  </w:style>
  <w:style w:type="character" w:customStyle="1" w:styleId="Small">
    <w:name w:val="Small"/>
    <w:basedOn w:val="DefaultParagraphFont"/>
    <w:rsid w:val="001C46C6"/>
    <w:rPr>
      <w:sz w:val="16"/>
    </w:rPr>
  </w:style>
  <w:style w:type="paragraph" w:customStyle="1" w:styleId="WideTable">
    <w:name w:val="Wide Table"/>
    <w:basedOn w:val="Normal"/>
    <w:rsid w:val="001C4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6C6"/>
  </w:style>
  <w:style w:type="paragraph" w:styleId="Quote">
    <w:name w:val="Quote"/>
    <w:basedOn w:val="Heading1"/>
    <w:link w:val="QuoteChar"/>
    <w:qFormat/>
    <w:rsid w:val="001C4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6C6"/>
    <w:pPr>
      <w:pageBreakBefore/>
    </w:pPr>
  </w:style>
  <w:style w:type="paragraph" w:customStyle="1" w:styleId="Border">
    <w:name w:val="Border"/>
    <w:basedOn w:val="Normal"/>
    <w:qFormat/>
    <w:rsid w:val="001C4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6C6"/>
    <w:rPr>
      <w:u w:val="single"/>
    </w:rPr>
  </w:style>
  <w:style w:type="character" w:customStyle="1" w:styleId="BoldandItalics">
    <w:name w:val="Bold and Italics"/>
    <w:qFormat/>
    <w:rsid w:val="001C46C6"/>
    <w:rPr>
      <w:b/>
      <w:i/>
      <w:u w:val="none"/>
    </w:rPr>
  </w:style>
  <w:style w:type="paragraph" w:styleId="BalloonText">
    <w:name w:val="Balloon Text"/>
    <w:basedOn w:val="Normal"/>
    <w:link w:val="BalloonTextChar"/>
    <w:rsid w:val="001C4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6C6"/>
    <w:pPr>
      <w:spacing w:before="0" w:after="0"/>
    </w:pPr>
  </w:style>
  <w:style w:type="paragraph" w:customStyle="1" w:styleId="BodyTextBold">
    <w:name w:val="Body Text Bold"/>
    <w:basedOn w:val="BodyText"/>
    <w:qFormat/>
    <w:rsid w:val="001C46C6"/>
    <w:rPr>
      <w:b/>
    </w:rPr>
  </w:style>
  <w:style w:type="character" w:styleId="Hyperlink">
    <w:name w:val="Hyperlink"/>
    <w:basedOn w:val="DefaultParagraphFont"/>
    <w:uiPriority w:val="99"/>
    <w:unhideWhenUsed/>
    <w:rsid w:val="00427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5614</Characters>
  <Application>Microsoft Office Word</Application>
  <DocSecurity>0</DocSecurity>
  <Lines>255</Lines>
  <Paragraphs>133</Paragraphs>
  <ScaleCrop>false</ScaleCrop>
  <Company>Author-it Software Corporation Ltd.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CPCCLSF3001 Licence to erect, alter and dismantle scaffolding intermediate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