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79A" w:rsidP="00F86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CPCCLRG3002 Licence to perform rigging intermediate level</w:t>
      </w:r>
      <w:r>
        <w:fldChar w:fldCharType="end"/>
      </w:r>
    </w:p>
    <w:p w:rsidR="00F8679A" w:rsidP="00F8679A">
      <w:pPr>
        <w:pStyle w:val="Version"/>
        <w:sectPr w:rsidSect="00B92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9274B" w:rsidP="00B9274B">
      <w:pPr>
        <w:pStyle w:val="SuperHeading"/>
      </w:pPr>
      <w:r w:rsidRPr="00B9274B">
        <w:t>CPCCLRG3002 Licence to perform rigging intermediate level</w:t>
      </w:r>
    </w:p>
    <w:p w:rsidR="00000000" w:rsidRPr="00B9274B" w:rsidP="00B9274B">
      <w:pPr>
        <w:pStyle w:val="Heading1"/>
      </w:pPr>
      <w:bookmarkStart w:id="1" w:name="O_1293985"/>
      <w:bookmarkEnd w:id="1"/>
      <w:r w:rsidRPr="00B927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Updated reference to general construction induction training program.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74B" w:rsidP="00B9274B">
            <w:pPr>
              <w:pStyle w:val="BodyText"/>
            </w:pPr>
            <w:r w:rsidRPr="00B9274B">
              <w:t>This version first released with CPC Construction, Plumbing and Services Training Package Release 8.0.</w:t>
            </w:r>
          </w:p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Changes to the Applicat</w:t>
            </w:r>
            <w:r w:rsidRPr="00B9274B">
              <w:t>ion of the unit and Performance Criteria 4.3.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74B" w:rsidP="00B9274B">
            <w:pPr>
              <w:pStyle w:val="BodyText"/>
            </w:pPr>
            <w:r w:rsidRPr="00B9274B">
              <w:t>This version first released with CPC Construction, Plumbing and Services Training Package Release 5.0.</w:t>
            </w:r>
          </w:p>
          <w:p w:rsidR="00000000" w:rsidRPr="00B9274B" w:rsidP="00B9274B">
            <w:pPr>
              <w:pStyle w:val="BodyText"/>
            </w:pPr>
            <w:r w:rsidRPr="00B9274B">
              <w:t>Supersedes and is equivalent to CPCCLRG3002A Licence to perform rigging intermediate level.  Upd</w:t>
            </w:r>
            <w:r w:rsidRPr="00B9274B">
              <w:t>ated to meet the Standards for Training Packages 2012.</w:t>
            </w:r>
          </w:p>
        </w:tc>
      </w:tr>
    </w:tbl>
    <w:p w:rsidR="00000000" w:rsidRPr="00B9274B" w:rsidP="00B9274B">
      <w:pPr>
        <w:pStyle w:val="BodyText"/>
      </w:pPr>
    </w:p>
    <w:p w:rsidR="00000000" w:rsidRPr="00B9274B" w:rsidP="00B9274B">
      <w:pPr>
        <w:pStyle w:val="AllowPageBreak"/>
      </w:pPr>
    </w:p>
    <w:p w:rsidR="00000000" w:rsidRPr="00B9274B" w:rsidP="00B9274B">
      <w:pPr>
        <w:pStyle w:val="Heading1"/>
      </w:pPr>
      <w:bookmarkStart w:id="2" w:name="O_1293984"/>
      <w:bookmarkEnd w:id="2"/>
      <w:r w:rsidRPr="00B9274B">
        <w:t>Application</w:t>
      </w:r>
    </w:p>
    <w:p w:rsidR="00000000" w:rsidRPr="00B9274B" w:rsidP="00F8679A">
      <w:pPr>
        <w:pStyle w:val="BodyText"/>
      </w:pPr>
      <w:r w:rsidRPr="00B9274B">
        <w:t>This unit specifies the skills and knowledge required to safely perform intermediate rigging work.</w:t>
      </w:r>
    </w:p>
    <w:p w:rsidR="00000000" w:rsidRPr="00B9274B" w:rsidP="00F8679A">
      <w:pPr>
        <w:pStyle w:val="BodyText"/>
      </w:pPr>
      <w:r w:rsidRPr="00B9274B">
        <w:t>Riggers use mechanical load shifting equipment and associated gear to</w:t>
      </w:r>
      <w:r w:rsidRPr="00B9274B">
        <w:t xml:space="preserve"> move, place or secure loads, including plant, equipment or members of a building or structure. Riggers ensure the stability of those members and set up and dismantle cranes and hoists. </w:t>
      </w:r>
    </w:p>
    <w:p w:rsidR="00000000" w:rsidRPr="00B9274B" w:rsidP="00F8679A">
      <w:pPr>
        <w:pStyle w:val="BodyText"/>
      </w:pPr>
      <w:r w:rsidRPr="00B9274B">
        <w:t>This unit includes rigging work involving:</w:t>
      </w:r>
    </w:p>
    <w:p w:rsidR="00000000" w:rsidRPr="00B9274B" w:rsidP="00B9274B">
      <w:pPr>
        <w:pStyle w:val="ListBullet"/>
      </w:pPr>
      <w:r w:rsidRPr="00B9274B">
        <w:t>hoists with jibs and self</w:t>
      </w:r>
      <w:r w:rsidRPr="00B9274B">
        <w:t xml:space="preserve">-climbing hoists </w:t>
      </w:r>
    </w:p>
    <w:p w:rsidR="00000000" w:rsidRPr="00B9274B" w:rsidP="00B9274B">
      <w:pPr>
        <w:pStyle w:val="ListBullet"/>
      </w:pPr>
      <w:r w:rsidRPr="00B9274B">
        <w:t>cranes, conveyors, dredges and excavators</w:t>
      </w:r>
    </w:p>
    <w:p w:rsidR="00000000" w:rsidRPr="00B9274B" w:rsidP="00B9274B">
      <w:pPr>
        <w:pStyle w:val="ListBullet"/>
      </w:pPr>
      <w:r w:rsidRPr="00B9274B">
        <w:t>tilt slabs</w:t>
      </w:r>
    </w:p>
    <w:p w:rsidR="00000000" w:rsidRPr="00B9274B" w:rsidP="00B9274B">
      <w:pPr>
        <w:pStyle w:val="ListBullet"/>
      </w:pPr>
      <w:r w:rsidRPr="00B9274B">
        <w:t>demolition of structures or plant</w:t>
      </w:r>
    </w:p>
    <w:p w:rsidR="00000000" w:rsidRPr="00B9274B" w:rsidP="00B9274B">
      <w:pPr>
        <w:pStyle w:val="ListBullet"/>
      </w:pPr>
      <w:r w:rsidRPr="00B9274B">
        <w:t xml:space="preserve">multiple lifts. </w:t>
      </w:r>
    </w:p>
    <w:p w:rsidR="00000000" w:rsidRPr="00B9274B" w:rsidP="00F8679A">
      <w:pPr>
        <w:pStyle w:val="BodyText"/>
      </w:pPr>
      <w:r w:rsidRPr="00B9274B">
        <w:t>Rigging work is undertaken in construction and other industries where load shifting equipment is used to move, place or secure loads.</w:t>
      </w:r>
    </w:p>
    <w:p w:rsidR="00000000" w:rsidRPr="00B9274B" w:rsidP="00F8679A">
      <w:pPr>
        <w:pStyle w:val="BodyText"/>
      </w:pPr>
      <w:r w:rsidRPr="00B9274B">
        <w:t>Completion of the general construction induction training program, specified in the Safe Work Australia model Code of Practice: Construction Work, is required by anyone carrying out construction work. Achievement of CPCWHS1001 Prepare to work safely in the</w:t>
      </w:r>
      <w:r w:rsidRPr="00B9274B">
        <w:t xml:space="preserve"> construction industry meets this requirement.</w:t>
      </w:r>
    </w:p>
    <w:p w:rsidR="00000000" w:rsidRPr="00B9274B" w:rsidP="00F8679A">
      <w:pPr>
        <w:pStyle w:val="BodyText"/>
      </w:pPr>
      <w:r w:rsidRPr="00B9274B">
        <w:t>This unit has a pre-requisite requirement. This requirement may be met by either the successful completion of the unit </w:t>
      </w:r>
      <w:r w:rsidRPr="00B9274B">
        <w:rPr>
          <w:rStyle w:val="Emphasis"/>
        </w:rPr>
        <w:t>CPCCLRG3001 Licence to perform rigging basic level </w:t>
      </w:r>
      <w:r w:rsidRPr="00B9274B">
        <w:t>or holding a valid licence for basic ri</w:t>
      </w:r>
      <w:r w:rsidRPr="00B9274B">
        <w:t>gging.</w:t>
      </w:r>
    </w:p>
    <w:p w:rsidR="00F8679A" w:rsidP="00F8679A">
      <w:pPr>
        <w:pStyle w:val="BodyText"/>
      </w:pPr>
      <w:r w:rsidRPr="00B9274B">
        <w:t>Competence in this unit does not in itself result in a licence. A licence is obtained after competence is assessed under applicable Commonwealth, state or territory work health and safety (WHS) regulations.</w:t>
      </w:r>
    </w:p>
    <w:p w:rsidR="00000000" w:rsidRPr="00B9274B" w:rsidP="00B9274B">
      <w:pPr>
        <w:pStyle w:val="Heading1"/>
      </w:pPr>
      <w:bookmarkStart w:id="3" w:name="O_1293983"/>
      <w:bookmarkEnd w:id="3"/>
      <w:r w:rsidRPr="00B9274B">
        <w:t>Pre-requisite Unit</w:t>
      </w:r>
    </w:p>
    <w:p w:rsidR="00000000" w:rsidRPr="00B9274B" w:rsidP="00F8679A">
      <w:pPr>
        <w:pStyle w:val="BodyText"/>
      </w:pPr>
      <w:r w:rsidRPr="00B9274B">
        <w:t>CPC</w:t>
      </w:r>
      <w:r w:rsidRPr="00B9274B">
        <w:t>CLRG3001 Licence to perform rigging basic level</w:t>
      </w:r>
    </w:p>
    <w:p w:rsidR="00000000" w:rsidRPr="00B9274B" w:rsidP="00B9274B">
      <w:pPr>
        <w:pStyle w:val="Heading1"/>
      </w:pPr>
      <w:bookmarkStart w:id="4" w:name="O_1293982"/>
      <w:bookmarkEnd w:id="4"/>
      <w:r w:rsidRPr="00B9274B">
        <w:t>Unit Sector</w:t>
      </w:r>
    </w:p>
    <w:p w:rsidR="00000000" w:rsidRPr="00B9274B" w:rsidP="00F8679A">
      <w:pPr>
        <w:pStyle w:val="BodyText"/>
      </w:pPr>
      <w:r w:rsidRPr="00B9274B">
        <w:t>Licencing</w:t>
      </w:r>
    </w:p>
    <w:p w:rsidR="00000000" w:rsidRPr="00B9274B" w:rsidP="00B9274B">
      <w:pPr>
        <w:pStyle w:val="Heading1"/>
      </w:pPr>
      <w:bookmarkStart w:id="5" w:name="O_1293981"/>
      <w:bookmarkEnd w:id="5"/>
      <w:r w:rsidRPr="00B927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Performance criteria describe what needs</w:t>
            </w:r>
            <w:r w:rsidRPr="00B9274B">
              <w:t xml:space="preserve"> to be done to demonstrate achievement of the element.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 xml:space="preserve">Review task instructions, consult with relevant persons to seek clarification as required, and obtain relevant workplace information. 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Obtain and interpret information, includ</w:t>
            </w:r>
            <w:r w:rsidRPr="00B9274B">
              <w:t>ing safe work method statements (SWMSs), required to ensure that activities are performed in compliance with workplace-specific and safe work requirements.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Obtain and interpret information required to ensure that equipment inspection, use, maintenance and storage complies with manufacturer requirements.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Identify workplace and task-specific hazards and determine required risk controls and safety measure</w:t>
            </w:r>
            <w:r w:rsidRPr="00B9274B">
              <w:t>s and equipment, including signs and barricades, personal protective equipment (PPE), and fall prevention and fall arrest equipment.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Identify methods of moving and placing tools, equipment and materials to minimise the risk of falling objects, to av</w:t>
            </w:r>
            <w:r w:rsidRPr="00B9274B">
              <w:t>oid inappropriate carrying on ladders and to minimise hazardous manual tasks.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Identify required rigging equipment and associated gear.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Calculate loads associated with mechanical load shifting equipment and associated gear required to erect and dismantle structures and plant.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Establish required communication methods with relevant persons.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Select risk controls and equipment, including fall prevention and fall arrest equipment, and check that it is working and fit for purpose.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Select and check PPE.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Select rigging equipment and associated gear, inspect for defects, and isolate, t</w:t>
            </w:r>
            <w:r w:rsidRPr="00B9274B">
              <w:t>ag out, report and record defective items.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Select communication equipment and check that it is working and fit for use.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Ensure risk controls and safety measures and equipment have been put in place, including the fitting, adjusting and anchoring of fall protection equipment.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Consult with relevant persons to ensure that ground and foundation have been assessed as suit</w:t>
            </w:r>
            <w:r w:rsidRPr="00B9274B">
              <w:t>able for task.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Consult with relevant persons to ensure that the structure has been assessed as suitable for load bearing task.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Undertake intermediate rigging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Erect and dismantle all structures and operate plant while maintaining stability, in accordance with workplace and manufacturer requirements.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Conduct a multiple-crane lift.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Erect and dismantle one of the following: </w:t>
            </w:r>
            <w:r w:rsidRPr="00B9274B">
              <w:t>a tower crane section or a crane lattice boom section, or a fly jib on a mobile slewing or a non-guyed tower crane.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 xml:space="preserve">Lift and install a series of tilt-up concrete panels. 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Remove a concrete-encased structural steel column and beam.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Remove excess materials from work area.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Inspect structures, plant, equipment and gear for defects, and isolate, tag out and report defective items.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Store plant, equipment and gear in accordance with workplace requirements.</w:t>
            </w:r>
          </w:p>
        </w:tc>
      </w:tr>
      <w:tr w:rsidTr="00B9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74B">
            <w:pPr>
              <w:pStyle w:val="BodyText"/>
              <w:rPr>
                <w:lang w:val="en-NZ"/>
              </w:rPr>
            </w:pPr>
            <w:r w:rsidRPr="00B9274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74B" w:rsidP="00B9274B">
            <w:pPr>
              <w:pStyle w:val="BodyText"/>
            </w:pPr>
            <w:r w:rsidRPr="00B9274B">
              <w:t>Remove risk controls and safety measures and equipment.</w:t>
            </w:r>
          </w:p>
        </w:tc>
      </w:tr>
    </w:tbl>
    <w:p w:rsidR="00000000" w:rsidRPr="00B9274B" w:rsidP="00B9274B">
      <w:pPr>
        <w:pStyle w:val="BodyText"/>
      </w:pPr>
    </w:p>
    <w:p w:rsidR="00000000" w:rsidRPr="00B9274B" w:rsidP="00B9274B">
      <w:pPr>
        <w:pStyle w:val="AllowPageBreak"/>
      </w:pPr>
    </w:p>
    <w:p w:rsidR="00000000" w:rsidRPr="00B9274B" w:rsidP="00B9274B">
      <w:pPr>
        <w:pStyle w:val="Heading1"/>
      </w:pPr>
      <w:bookmarkStart w:id="6" w:name="O_1293980"/>
      <w:bookmarkEnd w:id="6"/>
      <w:r w:rsidRPr="00B9274B">
        <w:t>Foundation Skills</w:t>
      </w:r>
    </w:p>
    <w:p w:rsidR="00000000" w:rsidRPr="00B9274B" w:rsidP="00F8679A">
      <w:pPr>
        <w:pStyle w:val="BodyText"/>
      </w:pPr>
      <w:r w:rsidRPr="00B9274B">
        <w:t xml:space="preserve">Foundation skills essential to performance are explicit in the performance criteria of this unit of competency. </w:t>
      </w:r>
    </w:p>
    <w:p w:rsidR="00000000" w:rsidRPr="00B9274B" w:rsidP="00B9274B">
      <w:pPr>
        <w:pStyle w:val="Heading1"/>
      </w:pPr>
      <w:bookmarkStart w:id="7" w:name="O_1293979"/>
      <w:bookmarkEnd w:id="7"/>
      <w:r w:rsidRPr="00B9274B">
        <w:t>Unit Mapping Information</w:t>
      </w:r>
    </w:p>
    <w:p w:rsidR="00000000" w:rsidRPr="00B9274B" w:rsidP="00F8679A">
      <w:pPr>
        <w:pStyle w:val="BodyText"/>
      </w:pPr>
      <w:r w:rsidRPr="00B9274B">
        <w:t>Supersedes and is equivalent to CPCCLRG3002A Licence to perform rigging intermediate level.</w:t>
      </w:r>
    </w:p>
    <w:p w:rsidR="00000000" w:rsidRPr="00B9274B" w:rsidP="00B9274B">
      <w:pPr>
        <w:pStyle w:val="Heading1"/>
      </w:pPr>
      <w:bookmarkStart w:id="8" w:name="O_1293986"/>
      <w:bookmarkEnd w:id="8"/>
      <w:r w:rsidRPr="00B9274B">
        <w:t>Links</w:t>
      </w:r>
    </w:p>
    <w:p w:rsidR="00000000" w:rsidRPr="00B9274B" w:rsidP="00F8679A">
      <w:pPr>
        <w:pStyle w:val="BodyText"/>
      </w:pPr>
      <w:r w:rsidRPr="00B927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51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9274B" w:rsidP="00B9274B"/>
    <w:sectPr w:rsidSect="00B92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4B" w:rsidRPr="00F8679A" w:rsidP="00F86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9A" w:rsidP="00B9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79A" w:rsidP="00B9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679A" w:rsidP="00B92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74B" w:rsidRPr="00F8679A" w:rsidP="00F86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9A" w:rsidRPr="002D2AF8" w:rsidP="00B9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CPCCLRG3002 Licence to perform rigging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8679A" w:rsidP="00B92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0A8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DC6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74B"/>
  </w:style>
  <w:style w:type="character" w:customStyle="1" w:styleId="Heading1Char">
    <w:name w:val="Heading 1 Char"/>
    <w:basedOn w:val="DefaultParagraphFont"/>
    <w:link w:val="Heading1"/>
    <w:rsid w:val="00B92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7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9274B"/>
    <w:rPr>
      <w:i/>
    </w:rPr>
  </w:style>
  <w:style w:type="paragraph" w:customStyle="1" w:styleId="SuperHeading">
    <w:name w:val="SuperHeading"/>
    <w:basedOn w:val="Normal"/>
    <w:rsid w:val="00B92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74B"/>
    <w:rPr>
      <w:b/>
      <w:spacing w:val="0"/>
    </w:rPr>
  </w:style>
  <w:style w:type="paragraph" w:customStyle="1" w:styleId="SuperTitle">
    <w:name w:val="SuperTitle"/>
    <w:basedOn w:val="Title"/>
    <w:rsid w:val="00B92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7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7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74B"/>
  </w:style>
  <w:style w:type="paragraph" w:styleId="TableofFigures">
    <w:name w:val="table of figures"/>
    <w:basedOn w:val="Normal"/>
    <w:next w:val="Normal"/>
    <w:semiHidden/>
    <w:rsid w:val="00B92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7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74B"/>
    <w:rPr>
      <w:rFonts w:ascii="Wingdings" w:hAnsi="Wingdings"/>
    </w:rPr>
  </w:style>
  <w:style w:type="paragraph" w:customStyle="1" w:styleId="TableHeading">
    <w:name w:val="Table Heading"/>
    <w:basedOn w:val="HeadingBase"/>
    <w:rsid w:val="00B92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74B"/>
    <w:rPr>
      <w:color w:val="0033CC"/>
      <w:u w:val="none"/>
    </w:rPr>
  </w:style>
  <w:style w:type="paragraph" w:customStyle="1" w:styleId="BodyTextRight">
    <w:name w:val="Body Text Right"/>
    <w:basedOn w:val="BodyText"/>
    <w:rsid w:val="00B92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7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74B"/>
    <w:rPr>
      <w:sz w:val="32"/>
    </w:rPr>
  </w:style>
  <w:style w:type="paragraph" w:customStyle="1" w:styleId="HeadingProcedure">
    <w:name w:val="Heading Procedure"/>
    <w:basedOn w:val="HeadingBase"/>
    <w:next w:val="Normal"/>
    <w:rsid w:val="00B92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74B"/>
    <w:pPr>
      <w:spacing w:before="60" w:after="60"/>
    </w:pPr>
  </w:style>
  <w:style w:type="paragraph" w:styleId="ListContinue">
    <w:name w:val="List Continue"/>
    <w:basedOn w:val="List"/>
    <w:rsid w:val="00B9274B"/>
    <w:pPr>
      <w:ind w:firstLine="0"/>
    </w:pPr>
  </w:style>
  <w:style w:type="paragraph" w:customStyle="1" w:styleId="ListNote">
    <w:name w:val="List Note"/>
    <w:basedOn w:val="List"/>
    <w:rsid w:val="00B92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74B"/>
    <w:rPr>
      <w:rFonts w:ascii="Courier New" w:hAnsi="Courier New"/>
    </w:rPr>
  </w:style>
  <w:style w:type="paragraph" w:customStyle="1" w:styleId="NoteBullet">
    <w:name w:val="Note Bullet"/>
    <w:basedOn w:val="Note"/>
    <w:rsid w:val="00B92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7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74B"/>
    <w:rPr>
      <w:b/>
      <w:smallCaps/>
    </w:rPr>
  </w:style>
  <w:style w:type="paragraph" w:customStyle="1" w:styleId="TableListNumber">
    <w:name w:val="Table List Number"/>
    <w:basedOn w:val="ListNumber"/>
    <w:rsid w:val="00B92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74B"/>
    <w:pPr>
      <w:numPr>
        <w:numId w:val="8"/>
      </w:numPr>
    </w:pPr>
  </w:style>
  <w:style w:type="paragraph" w:customStyle="1" w:styleId="ListAlpha2">
    <w:name w:val="List Alpha 2"/>
    <w:basedOn w:val="List2"/>
    <w:rsid w:val="00B9274B"/>
    <w:pPr>
      <w:numPr>
        <w:numId w:val="7"/>
      </w:numPr>
    </w:pPr>
  </w:style>
  <w:style w:type="paragraph" w:styleId="List2">
    <w:name w:val="List 2"/>
    <w:basedOn w:val="BodyText"/>
    <w:rsid w:val="00B92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7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7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74B"/>
    <w:pPr>
      <w:numPr>
        <w:numId w:val="3"/>
      </w:numPr>
    </w:pPr>
  </w:style>
  <w:style w:type="paragraph" w:styleId="ListContinue2">
    <w:name w:val="List Continue 2"/>
    <w:basedOn w:val="List2"/>
    <w:rsid w:val="00B9274B"/>
    <w:pPr>
      <w:ind w:firstLine="0"/>
    </w:pPr>
  </w:style>
  <w:style w:type="paragraph" w:styleId="ListContinue3">
    <w:name w:val="List Continue 3"/>
    <w:basedOn w:val="List3"/>
    <w:rsid w:val="00B9274B"/>
    <w:pPr>
      <w:ind w:left="1021" w:firstLine="0"/>
    </w:pPr>
  </w:style>
  <w:style w:type="paragraph" w:styleId="ListContinue4">
    <w:name w:val="List Continue 4"/>
    <w:basedOn w:val="List4"/>
    <w:rsid w:val="00B9274B"/>
    <w:pPr>
      <w:ind w:firstLine="0"/>
    </w:pPr>
  </w:style>
  <w:style w:type="paragraph" w:styleId="ListContinue5">
    <w:name w:val="List Continue 5"/>
    <w:basedOn w:val="List5"/>
    <w:rsid w:val="00B9274B"/>
    <w:pPr>
      <w:ind w:firstLine="0"/>
    </w:pPr>
  </w:style>
  <w:style w:type="paragraph" w:styleId="ListNumber3">
    <w:name w:val="List Number 3"/>
    <w:basedOn w:val="List3"/>
    <w:rsid w:val="00B9274B"/>
    <w:pPr>
      <w:numPr>
        <w:numId w:val="4"/>
      </w:numPr>
    </w:pPr>
  </w:style>
  <w:style w:type="paragraph" w:styleId="ListNumber4">
    <w:name w:val="List Number 4"/>
    <w:basedOn w:val="List4"/>
    <w:rsid w:val="00B9274B"/>
    <w:pPr>
      <w:numPr>
        <w:numId w:val="5"/>
      </w:numPr>
    </w:pPr>
  </w:style>
  <w:style w:type="paragraph" w:styleId="ListNumber5">
    <w:name w:val="List Number 5"/>
    <w:basedOn w:val="List5"/>
    <w:rsid w:val="00B9274B"/>
    <w:pPr>
      <w:numPr>
        <w:numId w:val="6"/>
      </w:numPr>
    </w:pPr>
  </w:style>
  <w:style w:type="paragraph" w:styleId="BlockText">
    <w:name w:val="Block Text"/>
    <w:basedOn w:val="Normal"/>
    <w:rsid w:val="00B92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74B"/>
    <w:rPr>
      <w:sz w:val="16"/>
      <w:vertAlign w:val="superscript"/>
    </w:rPr>
  </w:style>
  <w:style w:type="character" w:customStyle="1" w:styleId="Symbols">
    <w:name w:val="Symbols"/>
    <w:basedOn w:val="DefaultParagraphFont"/>
    <w:rsid w:val="00B9274B"/>
    <w:rPr>
      <w:rFonts w:ascii="Symbol" w:hAnsi="Symbol"/>
    </w:rPr>
  </w:style>
  <w:style w:type="character" w:customStyle="1" w:styleId="MenuOptions">
    <w:name w:val="Menu Options"/>
    <w:basedOn w:val="DefaultParagraphFont"/>
    <w:rsid w:val="00B92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74B"/>
    <w:rPr>
      <w:b/>
    </w:rPr>
  </w:style>
  <w:style w:type="character" w:customStyle="1" w:styleId="Underlined">
    <w:name w:val="Underlined"/>
    <w:basedOn w:val="DefaultParagraphFont"/>
    <w:rsid w:val="00B9274B"/>
    <w:rPr>
      <w:u w:val="single"/>
    </w:rPr>
  </w:style>
  <w:style w:type="paragraph" w:customStyle="1" w:styleId="TableBodyTextRight">
    <w:name w:val="Table Body Text Right"/>
    <w:basedOn w:val="TableBodyText"/>
    <w:rsid w:val="00B92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74B"/>
    <w:rPr>
      <w:sz w:val="18"/>
    </w:rPr>
  </w:style>
  <w:style w:type="paragraph" w:customStyle="1" w:styleId="BodySmallRight">
    <w:name w:val="Body Small Right"/>
    <w:basedOn w:val="BodyTextRight"/>
    <w:rsid w:val="00B9274B"/>
    <w:rPr>
      <w:sz w:val="18"/>
      <w:szCs w:val="18"/>
    </w:rPr>
  </w:style>
  <w:style w:type="paragraph" w:customStyle="1" w:styleId="MarginEdition">
    <w:name w:val="Margin Edition"/>
    <w:basedOn w:val="MarginNote"/>
    <w:rsid w:val="00B92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74B"/>
    <w:rPr>
      <w:sz w:val="2"/>
      <w:szCs w:val="2"/>
    </w:rPr>
  </w:style>
  <w:style w:type="character" w:customStyle="1" w:styleId="Small">
    <w:name w:val="Small"/>
    <w:basedOn w:val="DefaultParagraphFont"/>
    <w:rsid w:val="00B9274B"/>
    <w:rPr>
      <w:sz w:val="16"/>
    </w:rPr>
  </w:style>
  <w:style w:type="paragraph" w:customStyle="1" w:styleId="WideTable">
    <w:name w:val="Wide Table"/>
    <w:basedOn w:val="Normal"/>
    <w:rsid w:val="00B92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74B"/>
  </w:style>
  <w:style w:type="paragraph" w:styleId="Quote">
    <w:name w:val="Quote"/>
    <w:basedOn w:val="Heading1"/>
    <w:link w:val="QuoteChar"/>
    <w:qFormat/>
    <w:rsid w:val="00B92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74B"/>
    <w:pPr>
      <w:pageBreakBefore/>
    </w:pPr>
  </w:style>
  <w:style w:type="paragraph" w:customStyle="1" w:styleId="Border">
    <w:name w:val="Border"/>
    <w:basedOn w:val="Normal"/>
    <w:qFormat/>
    <w:rsid w:val="00B92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74B"/>
    <w:rPr>
      <w:u w:val="single"/>
    </w:rPr>
  </w:style>
  <w:style w:type="character" w:customStyle="1" w:styleId="BoldandItalics">
    <w:name w:val="Bold and Italics"/>
    <w:qFormat/>
    <w:rsid w:val="00B9274B"/>
    <w:rPr>
      <w:b/>
      <w:i/>
      <w:u w:val="none"/>
    </w:rPr>
  </w:style>
  <w:style w:type="paragraph" w:styleId="BalloonText">
    <w:name w:val="Balloon Text"/>
    <w:basedOn w:val="Normal"/>
    <w:link w:val="BalloonTextChar"/>
    <w:rsid w:val="00B92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74B"/>
    <w:pPr>
      <w:spacing w:before="0" w:after="0"/>
    </w:pPr>
  </w:style>
  <w:style w:type="paragraph" w:customStyle="1" w:styleId="BodyTextBold">
    <w:name w:val="Body Text Bold"/>
    <w:basedOn w:val="BodyText"/>
    <w:qFormat/>
    <w:rsid w:val="00B9274B"/>
    <w:rPr>
      <w:b/>
    </w:rPr>
  </w:style>
  <w:style w:type="character" w:styleId="Hyperlink">
    <w:name w:val="Hyperlink"/>
    <w:basedOn w:val="DefaultParagraphFont"/>
    <w:uiPriority w:val="99"/>
    <w:unhideWhenUsed/>
    <w:rsid w:val="00F86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5188</Characters>
  <Application>Microsoft Office Word</Application>
  <DocSecurity>0</DocSecurity>
  <Lines>225</Lines>
  <Paragraphs>118</Paragraphs>
  <ScaleCrop>false</ScaleCrop>
  <Company>Author-it Software Corporation Ltd.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CPCCLRG3002 Licence to perform rigging intermediate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