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981" w:rsidP="000159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CPCCLDG3001 Licence to perform dogging</w:t>
      </w:r>
      <w:r>
        <w:fldChar w:fldCharType="end"/>
      </w:r>
    </w:p>
    <w:p w:rsidR="00015981" w:rsidP="00015981">
      <w:pPr>
        <w:pStyle w:val="Version"/>
        <w:sectPr w:rsidSect="00AC3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C3BBE" w:rsidP="00AC3BBE">
      <w:pPr>
        <w:pStyle w:val="SuperHeading"/>
      </w:pPr>
      <w:r w:rsidRPr="00AC3BBE">
        <w:t>CPCCLDG3001 Licence to perform dogging</w:t>
      </w:r>
    </w:p>
    <w:p w:rsidR="00000000" w:rsidRPr="00AC3BBE" w:rsidP="00AC3BBE">
      <w:pPr>
        <w:pStyle w:val="Heading1"/>
      </w:pPr>
      <w:bookmarkStart w:id="1" w:name="O_1294097"/>
      <w:bookmarkEnd w:id="1"/>
      <w:r w:rsidRPr="00AC3B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Updated reference to general construction induction training program.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BBE" w:rsidP="00AC3BBE">
            <w:pPr>
              <w:pStyle w:val="BodyText"/>
            </w:pPr>
            <w:r w:rsidRPr="00AC3BBE">
              <w:t>This version first released with CPC Construction, Plumbing and Services Training Package Release 5.1.</w:t>
            </w:r>
          </w:p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Minor edits to formatting.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BBE" w:rsidP="00AC3BBE">
            <w:pPr>
              <w:pStyle w:val="BodyText"/>
            </w:pPr>
            <w:r w:rsidRPr="00AC3BBE">
              <w:t>Thi</w:t>
            </w:r>
            <w:r w:rsidRPr="00AC3BBE">
              <w:t>s version first released with CPC Construction, Plumbing and Services Training Package Release 5.0.</w:t>
            </w:r>
          </w:p>
          <w:p w:rsidR="00000000" w:rsidRPr="00AC3BBE" w:rsidP="00AC3BBE">
            <w:pPr>
              <w:pStyle w:val="BodyText"/>
            </w:pPr>
            <w:r w:rsidRPr="00AC3BBE">
              <w:t>Supersedes and is equivalent to CPCCLDG3001A Licence to perform dogging.  Updated to meet the Standards for Training Packages 2012.</w:t>
            </w:r>
          </w:p>
        </w:tc>
      </w:tr>
    </w:tbl>
    <w:p w:rsidR="00000000" w:rsidRPr="00AC3BBE" w:rsidP="00AC3BBE">
      <w:pPr>
        <w:pStyle w:val="BodyText"/>
      </w:pPr>
    </w:p>
    <w:p w:rsidR="00000000" w:rsidRPr="00AC3BBE" w:rsidP="00AC3BBE">
      <w:pPr>
        <w:pStyle w:val="AllowPageBreak"/>
      </w:pPr>
    </w:p>
    <w:p w:rsidR="00000000" w:rsidRPr="00AC3BBE" w:rsidP="00AC3BBE">
      <w:pPr>
        <w:pStyle w:val="Heading1"/>
      </w:pPr>
      <w:bookmarkStart w:id="2" w:name="O_1294096"/>
      <w:bookmarkEnd w:id="2"/>
      <w:r w:rsidRPr="00AC3BBE">
        <w:t>App</w:t>
      </w:r>
      <w:r w:rsidRPr="00AC3BBE">
        <w:t>lication</w:t>
      </w:r>
    </w:p>
    <w:p w:rsidR="00000000" w:rsidRPr="00AC3BBE" w:rsidP="00015981">
      <w:pPr>
        <w:pStyle w:val="BodyText"/>
      </w:pPr>
      <w:r w:rsidRPr="00AC3BBE">
        <w:t>This unit specifies the skills and knowledge required to safely perform dogging work. Dogging consists of the application of slinging techniques to move a load, including the selection and inspection of lifting gear, and the directing of a plant o</w:t>
      </w:r>
      <w:r w:rsidRPr="00AC3BBE">
        <w:t>perator in the movement of a load when the load is out of sight of the operator.</w:t>
      </w:r>
    </w:p>
    <w:p w:rsidR="00000000" w:rsidRPr="00AC3BBE" w:rsidP="00015981">
      <w:pPr>
        <w:pStyle w:val="BodyText"/>
      </w:pPr>
      <w:r w:rsidRPr="00AC3BBE">
        <w:t>Dogging work is conducted in the construction industry and other industries where loads are lifted and moved using cranes or hoists.</w:t>
      </w:r>
    </w:p>
    <w:p w:rsidR="00000000" w:rsidRPr="00AC3BBE" w:rsidP="00015981">
      <w:pPr>
        <w:pStyle w:val="BodyText"/>
      </w:pPr>
      <w:r w:rsidRPr="00AC3BBE">
        <w:t>Completion of the general construction ind</w:t>
      </w:r>
      <w:r w:rsidRPr="00AC3BBE">
        <w:t>uction training program, specified in the Safe Work Australia model Code of Practice: Construction Work, is required by anyone carrying out construction work. Achievement of CPCWHS1001 Prepare to work safely in the construction industry meets this requirem</w:t>
      </w:r>
      <w:r w:rsidRPr="00AC3BBE">
        <w:t>ent.</w:t>
      </w:r>
    </w:p>
    <w:p w:rsidR="00000000" w:rsidRPr="00AC3BBE" w:rsidP="00015981">
      <w:pPr>
        <w:pStyle w:val="BodyText"/>
      </w:pPr>
      <w:r w:rsidRPr="00AC3BBE">
        <w:t xml:space="preserve">Competence in this unit does not in itself result in a licence. A licence is obtained after competence is assessed under applicable Commonwealth, state or territory work health and safety (WHS) regulations. </w:t>
      </w:r>
    </w:p>
    <w:p w:rsidR="00000000" w:rsidRPr="00AC3BBE" w:rsidP="00AC3BBE">
      <w:pPr>
        <w:pStyle w:val="Heading1"/>
      </w:pPr>
      <w:bookmarkStart w:id="3" w:name="O_1294095"/>
      <w:bookmarkEnd w:id="3"/>
      <w:r w:rsidRPr="00AC3BBE">
        <w:t>Pre-requisite Unit</w:t>
      </w:r>
    </w:p>
    <w:p w:rsidR="00000000" w:rsidRPr="00AC3BBE" w:rsidP="00015981">
      <w:pPr>
        <w:pStyle w:val="BodyText"/>
      </w:pPr>
      <w:r w:rsidRPr="00AC3BBE">
        <w:t>Nil.</w:t>
      </w:r>
    </w:p>
    <w:p w:rsidR="00000000" w:rsidRPr="00AC3BBE" w:rsidP="00AC3BBE">
      <w:pPr>
        <w:pStyle w:val="Heading1"/>
      </w:pPr>
      <w:bookmarkStart w:id="4" w:name="O_1294094"/>
      <w:bookmarkEnd w:id="4"/>
      <w:r w:rsidRPr="00AC3BBE">
        <w:t>Unit Sector</w:t>
      </w:r>
    </w:p>
    <w:p w:rsidR="00000000" w:rsidRPr="00AC3BBE" w:rsidP="00015981">
      <w:pPr>
        <w:pStyle w:val="BodyText"/>
      </w:pPr>
      <w:r w:rsidRPr="00AC3BBE">
        <w:t>Licencing</w:t>
      </w:r>
    </w:p>
    <w:p w:rsidR="00000000" w:rsidRPr="00AC3BBE" w:rsidP="00AC3BBE">
      <w:pPr>
        <w:pStyle w:val="Heading1"/>
      </w:pPr>
      <w:bookmarkStart w:id="5" w:name="O_1294093"/>
      <w:bookmarkEnd w:id="5"/>
      <w:r w:rsidRPr="00AC3B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Performance criteria describe what needs to be done to demonstrate achievement of the element.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Revie</w:t>
            </w:r>
            <w:r w:rsidRPr="00AC3BBE">
              <w:t>w task instructions, consult with relevant persons to seek clarification as required, and obtain relevant workplace information.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Obtain and interpret information, including safe work method statements (SWMSs), required to ensure that activities are performed in compliance with workplace-specific and safe work requirements.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Obtain and interpret information required to ensure t</w:t>
            </w:r>
            <w:r w:rsidRPr="00AC3BBE">
              <w:t>hat equipment inspection, use, maintenance and storage complies with manufacturer requirements.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Identify workplace and task-specific hazards and determine required risk controls and safety measures and equipment, including signs and barricades, pers</w:t>
            </w:r>
            <w:r w:rsidRPr="00AC3BBE">
              <w:t>onal protective equipment (PPE), and fall prevention and fall arrest equipment.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Calculate load weight, dimensions and centre of gravity.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Determine lifting and slinging points.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Calculate derated working load limit (WLL) of lifting equipment resulting from selected slinging techniques.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Establish required communication methods with plant operator.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Select and inspect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Select risk controls and equipment, including fall prevention and fall arrest equipment, and check that it is working and fit for purpose.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Select and check PPE.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Select lifting equipment and gear, inspect for defects, and isolate, tag out, report and record defective items.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Select communication equipment and check that it is working and fit for use.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Set up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Establish and maintain communication with relevant persons to ensure lift plan and risk controls are communicated clearly, including any impact on other workplace activities.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Ensure risk controls and safety measures and equipment have been put in place.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Prepare lifting equipment and gear for safe use.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Consult with relevant persons to ensure that the load destination is stable, able to bear the load and prepared fo</w:t>
            </w:r>
            <w:r w:rsidRPr="00AC3BBE">
              <w:t>r safe access and landing.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Attach and secure lifting equipment and gear to the plant-designated lifting point.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Perform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 xml:space="preserve">Direct plant designated lifting point/hook, over the load’s centre of gravity. 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Attach and secure lifting equipment and gear to the load using slinging techniques.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Attach and secure tag line as required to guide the load.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Use signals and radio communication methods to direct the load movement, both in and out of sight of</w:t>
            </w:r>
            <w:r w:rsidRPr="00AC3BBE">
              <w:t xml:space="preserve"> the plant operator.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Conduct test lift to check the security of the slings and the stability of the load, lifting equipment and gear.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Direct the movement of the load in accordance with lift plan, including lowering and landing.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Disconnect lifting gear from the load and direct the positioning of crane or hoist for next task.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Pack up and 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Remove excess materials from work area.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Inspect lifting equipment and gear for defects, and isolate, label and report defective items.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Store lifting equipment and gear in accordance with workplace requirements.</w:t>
            </w:r>
          </w:p>
        </w:tc>
      </w:tr>
      <w:tr w:rsidTr="00AC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BE">
            <w:pPr>
              <w:pStyle w:val="BodyText"/>
              <w:rPr>
                <w:lang w:val="en-NZ"/>
              </w:rPr>
            </w:pPr>
            <w:r w:rsidRPr="00AC3BBE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BBE" w:rsidP="00AC3BBE">
            <w:pPr>
              <w:pStyle w:val="BodyText"/>
            </w:pPr>
            <w:r w:rsidRPr="00AC3BBE">
              <w:t>Remove risk controls and safety measures and equipment.</w:t>
            </w:r>
          </w:p>
        </w:tc>
      </w:tr>
    </w:tbl>
    <w:p w:rsidR="00000000" w:rsidRPr="00AC3BBE" w:rsidP="00AC3BBE">
      <w:pPr>
        <w:pStyle w:val="BodyText"/>
      </w:pPr>
    </w:p>
    <w:p w:rsidR="00000000" w:rsidRPr="00AC3BBE" w:rsidP="00AC3BBE">
      <w:pPr>
        <w:pStyle w:val="AllowPageBreak"/>
      </w:pPr>
    </w:p>
    <w:p w:rsidR="00000000" w:rsidRPr="00AC3BBE" w:rsidP="00AC3BBE">
      <w:pPr>
        <w:pStyle w:val="Heading1"/>
      </w:pPr>
      <w:bookmarkStart w:id="6" w:name="O_1294092"/>
      <w:bookmarkEnd w:id="6"/>
      <w:r w:rsidRPr="00AC3BBE">
        <w:t>Foundation Skills</w:t>
      </w:r>
    </w:p>
    <w:p w:rsidR="00000000" w:rsidRPr="00AC3BBE" w:rsidP="00015981">
      <w:pPr>
        <w:pStyle w:val="BodyText"/>
      </w:pPr>
      <w:r w:rsidRPr="00AC3BBE">
        <w:t xml:space="preserve">Foundation skills essential to performance are explicit in the performance criteria of this unit of competency. </w:t>
      </w:r>
    </w:p>
    <w:p w:rsidR="00000000" w:rsidRPr="00AC3BBE" w:rsidP="00AC3BBE">
      <w:pPr>
        <w:pStyle w:val="Heading1"/>
      </w:pPr>
      <w:bookmarkStart w:id="7" w:name="O_1294091"/>
      <w:bookmarkEnd w:id="7"/>
      <w:r w:rsidRPr="00AC3BBE">
        <w:t>Unit Mapping Information</w:t>
      </w:r>
    </w:p>
    <w:p w:rsidR="00000000" w:rsidRPr="00AC3BBE" w:rsidP="00015981">
      <w:pPr>
        <w:pStyle w:val="BodyText"/>
      </w:pPr>
      <w:r w:rsidRPr="00AC3BBE">
        <w:t>Supersedes and is equivalent to CPCCLDG3001A Licence to perform dogging.</w:t>
      </w:r>
    </w:p>
    <w:p w:rsidR="00000000" w:rsidRPr="00AC3BBE" w:rsidP="00AC3BBE">
      <w:pPr>
        <w:pStyle w:val="Heading1"/>
      </w:pPr>
      <w:bookmarkStart w:id="8" w:name="O_1294098"/>
      <w:bookmarkEnd w:id="8"/>
      <w:r w:rsidRPr="00AC3BBE">
        <w:t>Links</w:t>
      </w:r>
    </w:p>
    <w:p w:rsidR="00000000" w:rsidRPr="00AC3BBE" w:rsidP="00015981">
      <w:pPr>
        <w:pStyle w:val="BodyText"/>
      </w:pPr>
      <w:r w:rsidRPr="00AC3BB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B665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C3BBE" w:rsidP="00AC3BBE"/>
    <w:sectPr w:rsidSect="00AC3B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BE" w:rsidRPr="00015981" w:rsidP="000159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981" w:rsidP="00AC3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981" w:rsidP="00AC3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15981" w:rsidP="00AC3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9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BBE" w:rsidRPr="00015981" w:rsidP="000159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981" w:rsidRPr="002D2AF8" w:rsidP="00AC3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CPCCLDG3001 Licence to perform dogging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15981" w:rsidP="00AC3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BBE"/>
  </w:style>
  <w:style w:type="character" w:customStyle="1" w:styleId="Heading1Char">
    <w:name w:val="Heading 1 Char"/>
    <w:basedOn w:val="DefaultParagraphFont"/>
    <w:link w:val="Heading1"/>
    <w:rsid w:val="00AC3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BB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C3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3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3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B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B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3B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3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3BBE"/>
    <w:rPr>
      <w:b/>
      <w:spacing w:val="0"/>
    </w:rPr>
  </w:style>
  <w:style w:type="paragraph" w:customStyle="1" w:styleId="SuperTitle">
    <w:name w:val="SuperTitle"/>
    <w:basedOn w:val="Title"/>
    <w:rsid w:val="00AC3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3B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3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B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3BBE"/>
    <w:rPr>
      <w:i/>
    </w:rPr>
  </w:style>
  <w:style w:type="paragraph" w:styleId="Caption">
    <w:name w:val="caption"/>
    <w:basedOn w:val="BodyText"/>
    <w:next w:val="Normal"/>
    <w:qFormat/>
    <w:rsid w:val="00AC3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BBE"/>
  </w:style>
  <w:style w:type="paragraph" w:styleId="TableofFigures">
    <w:name w:val="table of figures"/>
    <w:basedOn w:val="Normal"/>
    <w:next w:val="Normal"/>
    <w:semiHidden/>
    <w:rsid w:val="00AC3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B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C3BBE"/>
    <w:rPr>
      <w:rFonts w:ascii="Wingdings" w:hAnsi="Wingdings"/>
    </w:rPr>
  </w:style>
  <w:style w:type="paragraph" w:customStyle="1" w:styleId="TableHeading">
    <w:name w:val="Table Heading"/>
    <w:basedOn w:val="HeadingBase"/>
    <w:rsid w:val="00AC3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BBE"/>
    <w:rPr>
      <w:color w:val="0033CC"/>
      <w:u w:val="none"/>
    </w:rPr>
  </w:style>
  <w:style w:type="paragraph" w:customStyle="1" w:styleId="BodyTextRight">
    <w:name w:val="Body Text Right"/>
    <w:basedOn w:val="BodyText"/>
    <w:rsid w:val="00AC3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B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BBE"/>
    <w:rPr>
      <w:sz w:val="32"/>
    </w:rPr>
  </w:style>
  <w:style w:type="paragraph" w:customStyle="1" w:styleId="HeadingProcedure">
    <w:name w:val="Heading Procedure"/>
    <w:basedOn w:val="HeadingBase"/>
    <w:next w:val="Normal"/>
    <w:rsid w:val="00AC3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BBE"/>
    <w:pPr>
      <w:spacing w:before="60" w:after="60"/>
    </w:pPr>
  </w:style>
  <w:style w:type="paragraph" w:styleId="ListContinue">
    <w:name w:val="List Continue"/>
    <w:basedOn w:val="List"/>
    <w:rsid w:val="00AC3BBE"/>
    <w:pPr>
      <w:ind w:firstLine="0"/>
    </w:pPr>
  </w:style>
  <w:style w:type="paragraph" w:customStyle="1" w:styleId="ListNote">
    <w:name w:val="List Note"/>
    <w:basedOn w:val="List"/>
    <w:rsid w:val="00AC3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BBE"/>
    <w:rPr>
      <w:rFonts w:ascii="Courier New" w:hAnsi="Courier New"/>
    </w:rPr>
  </w:style>
  <w:style w:type="paragraph" w:customStyle="1" w:styleId="NoteBullet">
    <w:name w:val="Note Bullet"/>
    <w:basedOn w:val="Note"/>
    <w:rsid w:val="00AC3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B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C3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BBE"/>
    <w:rPr>
      <w:b/>
      <w:smallCaps/>
    </w:rPr>
  </w:style>
  <w:style w:type="paragraph" w:customStyle="1" w:styleId="TableListNumber">
    <w:name w:val="Table List Number"/>
    <w:basedOn w:val="ListNumber"/>
    <w:rsid w:val="00AC3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BBE"/>
    <w:pPr>
      <w:numPr>
        <w:numId w:val="7"/>
      </w:numPr>
    </w:pPr>
  </w:style>
  <w:style w:type="paragraph" w:customStyle="1" w:styleId="ListAlpha2">
    <w:name w:val="List Alpha 2"/>
    <w:basedOn w:val="List2"/>
    <w:rsid w:val="00AC3BBE"/>
    <w:pPr>
      <w:numPr>
        <w:numId w:val="6"/>
      </w:numPr>
    </w:pPr>
  </w:style>
  <w:style w:type="paragraph" w:styleId="List2">
    <w:name w:val="List 2"/>
    <w:basedOn w:val="BodyText"/>
    <w:rsid w:val="00AC3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B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B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C3BBE"/>
    <w:pPr>
      <w:numPr>
        <w:numId w:val="2"/>
      </w:numPr>
    </w:pPr>
  </w:style>
  <w:style w:type="paragraph" w:styleId="ListContinue2">
    <w:name w:val="List Continue 2"/>
    <w:basedOn w:val="List2"/>
    <w:rsid w:val="00AC3BBE"/>
    <w:pPr>
      <w:ind w:firstLine="0"/>
    </w:pPr>
  </w:style>
  <w:style w:type="paragraph" w:styleId="ListContinue3">
    <w:name w:val="List Continue 3"/>
    <w:basedOn w:val="List3"/>
    <w:rsid w:val="00AC3BBE"/>
    <w:pPr>
      <w:ind w:left="1021" w:firstLine="0"/>
    </w:pPr>
  </w:style>
  <w:style w:type="paragraph" w:styleId="ListContinue4">
    <w:name w:val="List Continue 4"/>
    <w:basedOn w:val="List4"/>
    <w:rsid w:val="00AC3BBE"/>
    <w:pPr>
      <w:ind w:firstLine="0"/>
    </w:pPr>
  </w:style>
  <w:style w:type="paragraph" w:styleId="ListContinue5">
    <w:name w:val="List Continue 5"/>
    <w:basedOn w:val="List5"/>
    <w:rsid w:val="00AC3BBE"/>
    <w:pPr>
      <w:ind w:firstLine="0"/>
    </w:pPr>
  </w:style>
  <w:style w:type="paragraph" w:styleId="ListNumber3">
    <w:name w:val="List Number 3"/>
    <w:basedOn w:val="List3"/>
    <w:rsid w:val="00AC3BBE"/>
    <w:pPr>
      <w:numPr>
        <w:numId w:val="3"/>
      </w:numPr>
    </w:pPr>
  </w:style>
  <w:style w:type="paragraph" w:styleId="ListNumber4">
    <w:name w:val="List Number 4"/>
    <w:basedOn w:val="List4"/>
    <w:rsid w:val="00AC3BBE"/>
    <w:pPr>
      <w:numPr>
        <w:numId w:val="4"/>
      </w:numPr>
    </w:pPr>
  </w:style>
  <w:style w:type="paragraph" w:styleId="ListNumber5">
    <w:name w:val="List Number 5"/>
    <w:basedOn w:val="List5"/>
    <w:rsid w:val="00AC3BBE"/>
    <w:pPr>
      <w:numPr>
        <w:numId w:val="5"/>
      </w:numPr>
    </w:pPr>
  </w:style>
  <w:style w:type="paragraph" w:styleId="BlockText">
    <w:name w:val="Block Text"/>
    <w:basedOn w:val="Normal"/>
    <w:rsid w:val="00AC3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BBE"/>
    <w:rPr>
      <w:sz w:val="16"/>
      <w:vertAlign w:val="superscript"/>
    </w:rPr>
  </w:style>
  <w:style w:type="character" w:customStyle="1" w:styleId="Symbols">
    <w:name w:val="Symbols"/>
    <w:basedOn w:val="DefaultParagraphFont"/>
    <w:rsid w:val="00AC3BBE"/>
    <w:rPr>
      <w:rFonts w:ascii="Symbol" w:hAnsi="Symbol"/>
    </w:rPr>
  </w:style>
  <w:style w:type="character" w:customStyle="1" w:styleId="MenuOptions">
    <w:name w:val="Menu Options"/>
    <w:basedOn w:val="DefaultParagraphFont"/>
    <w:rsid w:val="00AC3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BBE"/>
    <w:rPr>
      <w:b/>
    </w:rPr>
  </w:style>
  <w:style w:type="character" w:customStyle="1" w:styleId="Underlined">
    <w:name w:val="Underlined"/>
    <w:basedOn w:val="DefaultParagraphFont"/>
    <w:rsid w:val="00AC3BBE"/>
    <w:rPr>
      <w:u w:val="single"/>
    </w:rPr>
  </w:style>
  <w:style w:type="paragraph" w:customStyle="1" w:styleId="TableBodyTextRight">
    <w:name w:val="Table Body Text Right"/>
    <w:basedOn w:val="TableBodyText"/>
    <w:rsid w:val="00AC3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BBE"/>
    <w:rPr>
      <w:sz w:val="18"/>
    </w:rPr>
  </w:style>
  <w:style w:type="paragraph" w:customStyle="1" w:styleId="BodySmallRight">
    <w:name w:val="Body Small Right"/>
    <w:basedOn w:val="BodyTextRight"/>
    <w:rsid w:val="00AC3BBE"/>
    <w:rPr>
      <w:sz w:val="18"/>
      <w:szCs w:val="18"/>
    </w:rPr>
  </w:style>
  <w:style w:type="paragraph" w:customStyle="1" w:styleId="MarginEdition">
    <w:name w:val="Margin Edition"/>
    <w:basedOn w:val="MarginNote"/>
    <w:rsid w:val="00AC3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BBE"/>
    <w:rPr>
      <w:sz w:val="2"/>
      <w:szCs w:val="2"/>
    </w:rPr>
  </w:style>
  <w:style w:type="character" w:customStyle="1" w:styleId="Small">
    <w:name w:val="Small"/>
    <w:basedOn w:val="DefaultParagraphFont"/>
    <w:rsid w:val="00AC3BBE"/>
    <w:rPr>
      <w:sz w:val="16"/>
    </w:rPr>
  </w:style>
  <w:style w:type="paragraph" w:customStyle="1" w:styleId="WideTable">
    <w:name w:val="Wide Table"/>
    <w:basedOn w:val="Normal"/>
    <w:rsid w:val="00AC3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BBE"/>
  </w:style>
  <w:style w:type="paragraph" w:styleId="Quote">
    <w:name w:val="Quote"/>
    <w:basedOn w:val="Heading1"/>
    <w:link w:val="QuoteChar"/>
    <w:qFormat/>
    <w:rsid w:val="00AC3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BBE"/>
    <w:pPr>
      <w:pageBreakBefore/>
    </w:pPr>
  </w:style>
  <w:style w:type="paragraph" w:customStyle="1" w:styleId="Border">
    <w:name w:val="Border"/>
    <w:basedOn w:val="Normal"/>
    <w:qFormat/>
    <w:rsid w:val="00AC3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BBE"/>
    <w:rPr>
      <w:u w:val="single"/>
    </w:rPr>
  </w:style>
  <w:style w:type="character" w:customStyle="1" w:styleId="BoldandItalics">
    <w:name w:val="Bold and Italics"/>
    <w:qFormat/>
    <w:rsid w:val="00AC3BBE"/>
    <w:rPr>
      <w:b/>
      <w:i/>
      <w:u w:val="none"/>
    </w:rPr>
  </w:style>
  <w:style w:type="paragraph" w:styleId="BalloonText">
    <w:name w:val="Balloon Text"/>
    <w:basedOn w:val="Normal"/>
    <w:link w:val="BalloonTextChar"/>
    <w:rsid w:val="00AC3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BBE"/>
    <w:pPr>
      <w:spacing w:before="0" w:after="0"/>
    </w:pPr>
  </w:style>
  <w:style w:type="paragraph" w:customStyle="1" w:styleId="BodyTextBold">
    <w:name w:val="Body Text Bold"/>
    <w:basedOn w:val="BodyText"/>
    <w:qFormat/>
    <w:rsid w:val="00AC3BBE"/>
    <w:rPr>
      <w:b/>
    </w:rPr>
  </w:style>
  <w:style w:type="character" w:styleId="Hyperlink">
    <w:name w:val="Hyperlink"/>
    <w:basedOn w:val="DefaultParagraphFont"/>
    <w:uiPriority w:val="99"/>
    <w:unhideWhenUsed/>
    <w:rsid w:val="000159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4621</Characters>
  <Application>Microsoft Office Word</Application>
  <DocSecurity>0</DocSecurity>
  <Lines>220</Lines>
  <Paragraphs>117</Paragraphs>
  <ScaleCrop>false</ScaleCrop>
  <Company>Author-it Software Corporation Ltd.</Company>
  <LinksUpToDate>false</LinksUpToDate>
  <CharactersWithSpaces>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CPCCLDG3001 Licence to perform dogging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