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65E2" w:rsidP="00DE65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CPCCLDG3001 Licence to perform dogging</w:t>
      </w:r>
      <w:r>
        <w:fldChar w:fldCharType="end"/>
      </w:r>
    </w:p>
    <w:p w:rsidR="00DE65E2" w:rsidP="00DE65E2">
      <w:pPr>
        <w:pStyle w:val="Version"/>
        <w:sectPr w:rsidSect="00B65A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65AB4" w:rsidP="00B65AB4">
      <w:pPr>
        <w:pStyle w:val="SuperHeading"/>
      </w:pPr>
      <w:r w:rsidRPr="00B65AB4">
        <w:t>CPCCLDG3001 Licence to perform dogging</w:t>
      </w:r>
    </w:p>
    <w:p w:rsidR="00000000" w:rsidRPr="00B65AB4" w:rsidP="00B65AB4">
      <w:pPr>
        <w:pStyle w:val="Heading1"/>
      </w:pPr>
      <w:bookmarkStart w:id="1" w:name="O_1294097"/>
      <w:bookmarkEnd w:id="1"/>
      <w:r w:rsidRPr="00B65A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Updated reference to general construction induction training program.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AB4" w:rsidP="00B65AB4">
            <w:pPr>
              <w:pStyle w:val="BodyText"/>
            </w:pPr>
            <w:r w:rsidRPr="00B65AB4">
              <w:t>This version first released with CPC Construction, Plumbing and Services Training Package Release 5.1.</w:t>
            </w:r>
          </w:p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Minor edits to formatting.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AB4" w:rsidP="00B65AB4">
            <w:pPr>
              <w:pStyle w:val="BodyText"/>
            </w:pPr>
            <w:r w:rsidRPr="00B65AB4">
              <w:t>Thi</w:t>
            </w:r>
            <w:r w:rsidRPr="00B65AB4">
              <w:t>s version first released with CPC Construction, Plumbing and Services Training Package Release 5.0.</w:t>
            </w:r>
          </w:p>
          <w:p w:rsidR="00000000" w:rsidRPr="00B65AB4" w:rsidP="00B65AB4">
            <w:pPr>
              <w:pStyle w:val="BodyText"/>
            </w:pPr>
            <w:r w:rsidRPr="00B65AB4">
              <w:t>Supersedes and is equivalent to CPCCLDG3001A Licence to perform dogging.  Updated to meet the Standards for Training Packages 2012.</w:t>
            </w:r>
          </w:p>
        </w:tc>
      </w:tr>
    </w:tbl>
    <w:p w:rsidR="00000000" w:rsidRPr="00B65AB4" w:rsidP="00B65AB4">
      <w:pPr>
        <w:pStyle w:val="BodyText"/>
      </w:pPr>
    </w:p>
    <w:p w:rsidR="00000000" w:rsidRPr="00B65AB4" w:rsidP="00B65AB4">
      <w:pPr>
        <w:pStyle w:val="AllowPageBreak"/>
      </w:pPr>
    </w:p>
    <w:p w:rsidR="00000000" w:rsidRPr="00B65AB4" w:rsidP="00B65AB4">
      <w:pPr>
        <w:pStyle w:val="Heading1"/>
      </w:pPr>
      <w:bookmarkStart w:id="2" w:name="O_1294096"/>
      <w:bookmarkEnd w:id="2"/>
      <w:r w:rsidRPr="00B65AB4">
        <w:t>App</w:t>
      </w:r>
      <w:r w:rsidRPr="00B65AB4">
        <w:t>lication</w:t>
      </w:r>
    </w:p>
    <w:p w:rsidR="00000000" w:rsidRPr="00B65AB4" w:rsidP="00DE65E2">
      <w:pPr>
        <w:pStyle w:val="BodyText"/>
      </w:pPr>
      <w:r w:rsidRPr="00B65AB4">
        <w:t>This unit specifies the skills and knowledge required to safely perform dogging work. Dogging consists of the application of slinging techniques to move a load, including the selection and inspection of lifting gear, and the directing of a plant o</w:t>
      </w:r>
      <w:r w:rsidRPr="00B65AB4">
        <w:t>perator in the movement of a load when the load is out of sight of the operator.</w:t>
      </w:r>
    </w:p>
    <w:p w:rsidR="00000000" w:rsidRPr="00B65AB4" w:rsidP="00DE65E2">
      <w:pPr>
        <w:pStyle w:val="BodyText"/>
      </w:pPr>
      <w:r w:rsidRPr="00B65AB4">
        <w:t>Dogging work is conducted in the construction industry and other industries where loads are lifted and moved using cranes or hoists.</w:t>
      </w:r>
    </w:p>
    <w:p w:rsidR="00000000" w:rsidRPr="00B65AB4" w:rsidP="00DE65E2">
      <w:pPr>
        <w:pStyle w:val="BodyText"/>
      </w:pPr>
      <w:r w:rsidRPr="00B65AB4">
        <w:t>Completion of the general construction ind</w:t>
      </w:r>
      <w:r w:rsidRPr="00B65AB4">
        <w:t>uction training program, specified in the Safe Work Australia model Code of Practice: Construction Work, is required by anyone carrying out construction work. Achievement of CPCWHS1001 Prepare to work safely in the construction industry meets this requirem</w:t>
      </w:r>
      <w:r w:rsidRPr="00B65AB4">
        <w:t>ent.</w:t>
      </w:r>
    </w:p>
    <w:p w:rsidR="00000000" w:rsidRPr="00B65AB4" w:rsidP="00DE65E2">
      <w:pPr>
        <w:pStyle w:val="BodyText"/>
      </w:pPr>
      <w:r w:rsidRPr="00B65AB4">
        <w:t xml:space="preserve">Competence in this unit does not in itself result in a licence. A licence is obtained after competence is assessed under applicable Commonwealth, state or territory work health and safety (WHS) regulations. </w:t>
      </w:r>
    </w:p>
    <w:p w:rsidR="00000000" w:rsidRPr="00B65AB4" w:rsidP="00B65AB4">
      <w:pPr>
        <w:pStyle w:val="Heading1"/>
      </w:pPr>
      <w:bookmarkStart w:id="3" w:name="O_1294095"/>
      <w:bookmarkEnd w:id="3"/>
      <w:r w:rsidRPr="00B65AB4">
        <w:t>Pre-requisite Unit</w:t>
      </w:r>
    </w:p>
    <w:p w:rsidR="00000000" w:rsidRPr="00B65AB4" w:rsidP="00DE65E2">
      <w:pPr>
        <w:pStyle w:val="BodyText"/>
      </w:pPr>
      <w:r w:rsidRPr="00B65AB4">
        <w:t>Nil.</w:t>
      </w:r>
    </w:p>
    <w:p w:rsidR="00000000" w:rsidRPr="00B65AB4" w:rsidP="00B65AB4">
      <w:pPr>
        <w:pStyle w:val="Heading1"/>
      </w:pPr>
      <w:bookmarkStart w:id="4" w:name="O_1294094"/>
      <w:bookmarkEnd w:id="4"/>
      <w:r w:rsidRPr="00B65AB4">
        <w:t>Unit Sector</w:t>
      </w:r>
    </w:p>
    <w:p w:rsidR="00000000" w:rsidRPr="00B65AB4" w:rsidP="00DE65E2">
      <w:pPr>
        <w:pStyle w:val="BodyText"/>
      </w:pPr>
      <w:r w:rsidRPr="00B65AB4">
        <w:t>Licencing</w:t>
      </w:r>
    </w:p>
    <w:p w:rsidR="00000000" w:rsidRPr="00B65AB4" w:rsidP="00B65AB4">
      <w:pPr>
        <w:pStyle w:val="Heading1"/>
      </w:pPr>
      <w:bookmarkStart w:id="5" w:name="O_1294093"/>
      <w:bookmarkEnd w:id="5"/>
      <w:r w:rsidRPr="00B65AB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Performance criteria describe what needs to be done to demonstrate achievement of the element.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Plan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Revie</w:t>
            </w:r>
            <w:r w:rsidRPr="00B65AB4">
              <w:t>w task instructions, consult with relevant persons to seek clarification as required, and obtain relevant workplace information.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Obtain and interpret information, including safe work method statements (SWMSs), required to ensure that activities are performed in compliance with workplace-specific and safe work requirements.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Obtain and interpret information required to ensure t</w:t>
            </w:r>
            <w:r w:rsidRPr="00B65AB4">
              <w:t>hat equipment inspection, use, maintenance and storage complies with manufacturer requirements.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Identify workplace and task-specific hazards and determine required risk controls and safety measures and equipment, including signs and barricades, pers</w:t>
            </w:r>
            <w:r w:rsidRPr="00B65AB4">
              <w:t>onal protective equipment (PPE), and fall prevention and fall arrest equipment.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Calculate load weight, dimensions and centre of gravity.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Determine lifting and slinging points.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Calculate derated working load limit (WLL) of lifting equipment resulting from selected slinging techniques.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Establish required communication methods with plant operator.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Select and inspect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Select risk controls and equipment, including fall prevention and fall arrest equipment, and check that it is working and fit for purpose.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Select and check PPE.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Select lifting equipment and gear, inspect for defects, and isolate, tag out, report and record defective items.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Select communication equipment and check that it is working and fit for use.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Set up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Establish and maintain communication with relevant persons to ensure lift plan and risk controls are communicated clearly, including any impact on other workplace activities.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Ensure risk controls and safety measures and equipment have been put in place.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Prepare lifting equipment and gear for safe use.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Consult with relevant persons to ensure that the load destination is stable, able to bear the load and prepared fo</w:t>
            </w:r>
            <w:r w:rsidRPr="00B65AB4">
              <w:t>r safe access and landing.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Attach and secure lifting equipment and gear to the plant-designated lifting point.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Perform task.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 xml:space="preserve">Direct plant designated lifting point/hook, over the load’s centre of gravity. 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Attach and secure lifting equipment and gear to the load using slinging techniques.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Attach and secure tag line as required to guide the load.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Use signals and radio communication methods to direct the load movement, both in and out of sight of</w:t>
            </w:r>
            <w:r w:rsidRPr="00B65AB4">
              <w:t xml:space="preserve"> the plant operator.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Conduct test lift to check the security of the slings and the stability of the load, lifting equipment and gear.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Direct the movement of the load in accordance with lift plan, including lowering and landing.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Disconnect lifting gear from the load and direct the positioning of crane or hoist for next task.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Pack up and 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Remove excess materials from work area.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Inspect lifting equipment and gear for defects, and isolate, label and report defective items.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Store lifting equipment and gear in accordance with workplace requirements.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AB4" w:rsidP="00B65AB4">
            <w:pPr>
              <w:pStyle w:val="BodyText"/>
            </w:pPr>
            <w:r w:rsidRPr="00B65AB4">
              <w:t>Remove risk controls and safety measures and equipment.</w:t>
            </w:r>
          </w:p>
        </w:tc>
      </w:tr>
    </w:tbl>
    <w:p w:rsidR="00000000" w:rsidRPr="00B65AB4" w:rsidP="00B65AB4">
      <w:pPr>
        <w:pStyle w:val="BodyText"/>
      </w:pPr>
    </w:p>
    <w:p w:rsidR="00000000" w:rsidRPr="00B65AB4" w:rsidP="00B65AB4">
      <w:pPr>
        <w:pStyle w:val="AllowPageBreak"/>
      </w:pPr>
    </w:p>
    <w:p w:rsidR="00000000" w:rsidRPr="00B65AB4" w:rsidP="00B65AB4">
      <w:pPr>
        <w:pStyle w:val="Heading1"/>
      </w:pPr>
      <w:bookmarkStart w:id="6" w:name="O_1294092"/>
      <w:bookmarkEnd w:id="6"/>
      <w:r w:rsidRPr="00B65AB4">
        <w:t>Foundation Skills</w:t>
      </w:r>
    </w:p>
    <w:p w:rsidR="00000000" w:rsidRPr="00B65AB4" w:rsidP="00DE65E2">
      <w:pPr>
        <w:pStyle w:val="BodyText"/>
      </w:pPr>
      <w:r w:rsidRPr="00B65AB4">
        <w:t xml:space="preserve">Foundation skills essential to performance are explicit in the performance criteria of this unit of competency. </w:t>
      </w:r>
    </w:p>
    <w:p w:rsidR="00000000" w:rsidRPr="00B65AB4" w:rsidP="00B65AB4">
      <w:pPr>
        <w:pStyle w:val="Heading1"/>
      </w:pPr>
      <w:bookmarkStart w:id="7" w:name="O_1294091"/>
      <w:bookmarkEnd w:id="7"/>
      <w:r w:rsidRPr="00B65AB4">
        <w:t>Unit Mapping Information</w:t>
      </w:r>
    </w:p>
    <w:p w:rsidR="00000000" w:rsidRPr="00B65AB4" w:rsidP="00DE65E2">
      <w:pPr>
        <w:pStyle w:val="BodyText"/>
      </w:pPr>
      <w:r w:rsidRPr="00B65AB4">
        <w:t>Supersedes and is equivalent to CPCCLDG3001A Licence to perform dogging.</w:t>
      </w:r>
    </w:p>
    <w:p w:rsidR="00000000" w:rsidRPr="00B65AB4" w:rsidP="00B65AB4">
      <w:pPr>
        <w:pStyle w:val="Heading1"/>
      </w:pPr>
      <w:bookmarkStart w:id="8" w:name="O_1294098"/>
      <w:bookmarkEnd w:id="8"/>
      <w:r w:rsidRPr="00B65AB4">
        <w:t>Links</w:t>
      </w:r>
    </w:p>
    <w:p w:rsidR="00000000" w:rsidRPr="00B65AB4" w:rsidP="00DE65E2">
      <w:pPr>
        <w:pStyle w:val="BodyText"/>
      </w:pPr>
      <w:r w:rsidRPr="00B65A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A0DF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5AB4" w:rsidP="00DE65E2">
      <w:pPr>
        <w:pStyle w:val="BodyText"/>
        <w:sectPr w:rsidSect="00B65AB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5AB4" w:rsidP="00B65AB4">
      <w:pPr>
        <w:pStyle w:val="SuperHeading"/>
      </w:pPr>
      <w:r w:rsidRPr="00B65AB4">
        <w:t xml:space="preserve">Assessment </w:t>
      </w:r>
      <w:r w:rsidRPr="00B65AB4">
        <w:t>Requirements for CPCCLDG3001 Licence to perform dogging</w:t>
      </w:r>
    </w:p>
    <w:p w:rsidR="00000000" w:rsidRPr="00B65AB4" w:rsidP="00B65AB4">
      <w:pPr>
        <w:pStyle w:val="Heading1"/>
      </w:pPr>
      <w:bookmarkStart w:id="9" w:name="O_1294089"/>
      <w:bookmarkEnd w:id="9"/>
      <w:r w:rsidRPr="00B65A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Updated reference to general construction induction training program.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AB4" w:rsidP="00B65AB4">
            <w:pPr>
              <w:pStyle w:val="BodyText"/>
            </w:pPr>
            <w:r w:rsidRPr="00B65AB4">
              <w:t>This version first released with CPC Construction, Plumbing and Servic</w:t>
            </w:r>
            <w:r w:rsidRPr="00B65AB4">
              <w:t>es Training Package Release 5.1.</w:t>
            </w:r>
          </w:p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Minor edits to formatting.</w:t>
            </w:r>
          </w:p>
        </w:tc>
      </w:tr>
      <w:tr w:rsidTr="00B65A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AB4">
            <w:pPr>
              <w:pStyle w:val="BodyText"/>
              <w:rPr>
                <w:lang w:val="en-NZ"/>
              </w:rPr>
            </w:pPr>
            <w:r w:rsidRPr="00B65AB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AB4" w:rsidP="00B65AB4">
            <w:pPr>
              <w:pStyle w:val="BodyText"/>
            </w:pPr>
            <w:r w:rsidRPr="00B65AB4">
              <w:t>This version first released with CPC Construction, Plumbing and Services Training Package Release 5.0.</w:t>
            </w:r>
          </w:p>
          <w:p w:rsidR="00000000" w:rsidRPr="00B65AB4" w:rsidP="00B65AB4">
            <w:pPr>
              <w:pStyle w:val="BodyText"/>
            </w:pPr>
            <w:r w:rsidRPr="00B65AB4">
              <w:t xml:space="preserve">Supersedes and is equivalent to CPCCLDG3001A Licence to perform dogging.  Updated </w:t>
            </w:r>
            <w:r w:rsidRPr="00B65AB4">
              <w:t>to meet the Standards for Training Packages 2012.</w:t>
            </w:r>
          </w:p>
        </w:tc>
      </w:tr>
    </w:tbl>
    <w:p w:rsidR="00000000" w:rsidRPr="00B65AB4" w:rsidP="00B65AB4">
      <w:pPr>
        <w:pStyle w:val="BodyText"/>
      </w:pPr>
    </w:p>
    <w:p w:rsidR="00000000" w:rsidRPr="00B65AB4" w:rsidP="00B65AB4">
      <w:pPr>
        <w:pStyle w:val="AllowPageBreak"/>
      </w:pPr>
    </w:p>
    <w:p w:rsidR="00000000" w:rsidRPr="00B65AB4" w:rsidP="00B65AB4">
      <w:pPr>
        <w:pStyle w:val="Heading1"/>
      </w:pPr>
      <w:bookmarkStart w:id="10" w:name="O_1294088"/>
      <w:bookmarkEnd w:id="10"/>
      <w:r w:rsidRPr="00B65AB4">
        <w:t>Performance Evidence</w:t>
      </w:r>
    </w:p>
    <w:p w:rsidR="00000000" w:rsidRPr="00B65AB4" w:rsidP="00DE65E2">
      <w:pPr>
        <w:pStyle w:val="BodyText"/>
      </w:pPr>
      <w:r w:rsidRPr="00B65AB4">
        <w:t>To demonstrate competency in this unit, a candidate must meet the elements and performance criteria by slinging and directing the movement of at least five loads of</w:t>
      </w:r>
      <w:r w:rsidRPr="00B65AB4">
        <w:t xml:space="preserve"> differing shapes, sizes and weights. </w:t>
      </w:r>
    </w:p>
    <w:p w:rsidR="00000000" w:rsidRPr="00B65AB4" w:rsidP="00DE65E2">
      <w:pPr>
        <w:pStyle w:val="BodyText"/>
      </w:pPr>
      <w:r w:rsidRPr="00B65AB4">
        <w:t xml:space="preserve">The loads must be moved by a slewing mobile crane of a maximum rated capacity of at least seven tonnes. </w:t>
      </w:r>
    </w:p>
    <w:p w:rsidR="00000000" w:rsidRPr="00B65AB4" w:rsidP="00DE65E2">
      <w:pPr>
        <w:pStyle w:val="BodyText"/>
      </w:pPr>
      <w:r w:rsidRPr="00B65AB4">
        <w:t xml:space="preserve">The candidate must: </w:t>
      </w:r>
    </w:p>
    <w:p w:rsidR="00000000" w:rsidRPr="00B65AB4" w:rsidP="00B65AB4">
      <w:pPr>
        <w:pStyle w:val="ListBullet"/>
      </w:pPr>
      <w:r w:rsidRPr="00B65AB4">
        <w:t xml:space="preserve">check relevant workplace information, including safe work method statements (SWMSs), and equipment service and maintenance records and checklists </w:t>
      </w:r>
    </w:p>
    <w:p w:rsidR="00000000" w:rsidRPr="00B65AB4" w:rsidP="00B65AB4">
      <w:pPr>
        <w:pStyle w:val="ListBullet"/>
      </w:pPr>
      <w:r w:rsidRPr="00B65AB4">
        <w:t>perform all activities in compliance with safe work practices and workplace-specific procedures and policies,</w:t>
      </w:r>
      <w:r w:rsidRPr="00B65AB4">
        <w:t xml:space="preserve"> and check, use, maintain and store equipment in compliance with manufacturer requirements</w:t>
      </w:r>
    </w:p>
    <w:p w:rsidR="00000000" w:rsidRPr="00B65AB4" w:rsidP="00B65AB4">
      <w:pPr>
        <w:pStyle w:val="ListBullet"/>
      </w:pPr>
      <w:r w:rsidRPr="00B65AB4">
        <w:t>identify hazards and use appropriate risk controls and safety measures and equipment</w:t>
      </w:r>
    </w:p>
    <w:p w:rsidR="00000000" w:rsidRPr="00B65AB4" w:rsidP="00B65AB4">
      <w:pPr>
        <w:pStyle w:val="ListBullet"/>
      </w:pPr>
      <w:r w:rsidRPr="00B65AB4">
        <w:t>determine load weight and travel path in consultation with crane operator</w:t>
      </w:r>
    </w:p>
    <w:p w:rsidR="00000000" w:rsidRPr="00B65AB4" w:rsidP="00B65AB4">
      <w:pPr>
        <w:pStyle w:val="ListBullet"/>
      </w:pPr>
      <w:r w:rsidRPr="00B65AB4">
        <w:t>select</w:t>
      </w:r>
      <w:r w:rsidRPr="00B65AB4">
        <w:t xml:space="preserve"> and inspect appropriate lifting gear and apply slinging techniques appropriate to the type of load, its mass and centre of gravity </w:t>
      </w:r>
    </w:p>
    <w:p w:rsidR="00000000" w:rsidRPr="00B65AB4" w:rsidP="00B65AB4">
      <w:pPr>
        <w:pStyle w:val="ListBullet"/>
      </w:pPr>
      <w:r w:rsidRPr="00B65AB4">
        <w:t>identify the working load limit (WLL) tags of the lifting equipment and gear and calculate the deration of the WLL resultin</w:t>
      </w:r>
      <w:r w:rsidRPr="00B65AB4">
        <w:t xml:space="preserve">g from the slinging techniques applied </w:t>
      </w:r>
    </w:p>
    <w:p w:rsidR="00000000" w:rsidRPr="00B65AB4" w:rsidP="00B65AB4">
      <w:pPr>
        <w:pStyle w:val="ListBullet"/>
      </w:pPr>
      <w:r w:rsidRPr="00B65AB4">
        <w:t>make temporary connections to loads using fibre or synthetic ropes</w:t>
      </w:r>
    </w:p>
    <w:p w:rsidR="00000000" w:rsidRPr="00B65AB4" w:rsidP="00B65AB4">
      <w:pPr>
        <w:pStyle w:val="ListBullet"/>
      </w:pPr>
      <w:r w:rsidRPr="00B65AB4">
        <w:t>use radio communication and hand and whistle signals to guide the crane operator, including when the load is out of sight of the crane operator.</w:t>
      </w:r>
    </w:p>
    <w:p w:rsidR="00000000" w:rsidRPr="00B65AB4" w:rsidP="00DE65E2">
      <w:pPr>
        <w:pStyle w:val="BodyText"/>
      </w:pPr>
      <w:r w:rsidRPr="00B65AB4">
        <w:t xml:space="preserve">The </w:t>
      </w:r>
      <w:r w:rsidRPr="00B65AB4">
        <w:t>candidate must use the following bends and hitches when slinging and directing the movement of loads:</w:t>
      </w:r>
    </w:p>
    <w:p w:rsidR="00000000" w:rsidRPr="00B65AB4" w:rsidP="00B65AB4">
      <w:pPr>
        <w:pStyle w:val="ListBullet"/>
      </w:pPr>
      <w:r w:rsidRPr="00B65AB4">
        <w:t>single sheet bend</w:t>
      </w:r>
    </w:p>
    <w:p w:rsidR="00000000" w:rsidRPr="00B65AB4" w:rsidP="00B65AB4">
      <w:pPr>
        <w:pStyle w:val="ListBullet"/>
      </w:pPr>
      <w:r w:rsidRPr="00B65AB4">
        <w:t>clove hitch</w:t>
      </w:r>
    </w:p>
    <w:p w:rsidR="00000000" w:rsidRPr="00B65AB4" w:rsidP="00B65AB4">
      <w:pPr>
        <w:pStyle w:val="ListBullet"/>
      </w:pPr>
      <w:r w:rsidRPr="00B65AB4">
        <w:t>rolling hitch</w:t>
      </w:r>
    </w:p>
    <w:p w:rsidR="00000000" w:rsidRPr="00B65AB4" w:rsidP="00B65AB4">
      <w:pPr>
        <w:pStyle w:val="ListBullet"/>
      </w:pPr>
      <w:r w:rsidRPr="00B65AB4">
        <w:t>bowline.</w:t>
      </w:r>
    </w:p>
    <w:p w:rsidR="00000000" w:rsidRPr="00B65AB4" w:rsidP="00DE65E2">
      <w:pPr>
        <w:pStyle w:val="BodyText"/>
      </w:pPr>
      <w:r w:rsidRPr="00B65AB4">
        <w:t>Load types must include:</w:t>
      </w:r>
    </w:p>
    <w:p w:rsidR="00000000" w:rsidRPr="00B65AB4" w:rsidP="00B65AB4">
      <w:pPr>
        <w:pStyle w:val="ListBullet"/>
      </w:pPr>
      <w:r w:rsidRPr="00B65AB4">
        <w:t>stillage containing at least ten scaffolding standards or loose steel pipe</w:t>
      </w:r>
      <w:r w:rsidRPr="00B65AB4">
        <w:t>s of 200 kg or more</w:t>
      </w:r>
    </w:p>
    <w:p w:rsidR="00000000" w:rsidRPr="00B65AB4" w:rsidP="00B65AB4">
      <w:pPr>
        <w:pStyle w:val="ListBullet"/>
      </w:pPr>
      <w:r w:rsidRPr="00B65AB4">
        <w:t xml:space="preserve">ten loose steel pipes, of at least 2 m length, that need wrapping </w:t>
      </w:r>
    </w:p>
    <w:p w:rsidR="00000000" w:rsidRPr="00B65AB4" w:rsidP="00B65AB4">
      <w:pPr>
        <w:pStyle w:val="ListBullet"/>
      </w:pPr>
      <w:r w:rsidRPr="00B65AB4">
        <w:t>an uneven load of at least two tonnes requiring slinging</w:t>
      </w:r>
    </w:p>
    <w:p w:rsidR="00000000" w:rsidRPr="00B65AB4" w:rsidP="00B65AB4">
      <w:pPr>
        <w:pStyle w:val="ListBullet"/>
      </w:pPr>
      <w:r w:rsidRPr="00B65AB4">
        <w:t>steel plate of at least 1.5 m x 2 m x 25 mm</w:t>
      </w:r>
    </w:p>
    <w:p w:rsidR="00000000" w:rsidRPr="00B65AB4" w:rsidP="00B65AB4">
      <w:pPr>
        <w:pStyle w:val="ListBullet"/>
      </w:pPr>
      <w:r w:rsidRPr="00B65AB4">
        <w:t xml:space="preserve">a round load with a minimum diameter of 300 mm and minimum length of 3 m. </w:t>
      </w:r>
    </w:p>
    <w:p w:rsidR="00000000" w:rsidRPr="00B65AB4" w:rsidP="00DE65E2">
      <w:pPr>
        <w:pStyle w:val="BodyText"/>
      </w:pPr>
      <w:r w:rsidRPr="00B65AB4">
        <w:t>The candidate must direct each load through at least 180 degrees of the crane’s slewing radius.</w:t>
      </w:r>
    </w:p>
    <w:p w:rsidR="00000000" w:rsidRPr="00B65AB4" w:rsidP="00DE65E2">
      <w:pPr>
        <w:pStyle w:val="BodyText"/>
      </w:pPr>
      <w:r w:rsidRPr="00B65AB4">
        <w:t>Each of the following must be used at least once:</w:t>
      </w:r>
    </w:p>
    <w:p w:rsidR="00000000" w:rsidRPr="00B65AB4" w:rsidP="00B65AB4">
      <w:pPr>
        <w:pStyle w:val="ListBullet"/>
      </w:pPr>
      <w:r w:rsidRPr="00B65AB4">
        <w:t>flexible steel wire rope (FSWR) sl</w:t>
      </w:r>
      <w:r w:rsidRPr="00B65AB4">
        <w:t>ing</w:t>
      </w:r>
    </w:p>
    <w:p w:rsidR="00000000" w:rsidRPr="00B65AB4" w:rsidP="00B65AB4">
      <w:pPr>
        <w:pStyle w:val="ListBullet"/>
      </w:pPr>
      <w:r w:rsidRPr="00B65AB4">
        <w:t>synthetic sling</w:t>
      </w:r>
    </w:p>
    <w:p w:rsidR="00000000" w:rsidRPr="00B65AB4" w:rsidP="00B65AB4">
      <w:pPr>
        <w:pStyle w:val="ListBullet"/>
      </w:pPr>
      <w:r w:rsidRPr="00B65AB4">
        <w:t xml:space="preserve">chain sling (including shortener) </w:t>
      </w:r>
    </w:p>
    <w:p w:rsidR="00000000" w:rsidRPr="00B65AB4" w:rsidP="00B65AB4">
      <w:pPr>
        <w:pStyle w:val="ListBullet"/>
      </w:pPr>
      <w:r w:rsidRPr="00B65AB4">
        <w:t>spreader bar or lifting beam</w:t>
      </w:r>
    </w:p>
    <w:p w:rsidR="00000000" w:rsidRPr="00B65AB4" w:rsidP="00B65AB4">
      <w:pPr>
        <w:pStyle w:val="ListBullet"/>
      </w:pPr>
      <w:r w:rsidRPr="00B65AB4">
        <w:t>tag line</w:t>
      </w:r>
    </w:p>
    <w:p w:rsidR="00000000" w:rsidRPr="00B65AB4" w:rsidP="00B65AB4">
      <w:pPr>
        <w:pStyle w:val="ListBullet"/>
      </w:pPr>
      <w:r w:rsidRPr="00B65AB4">
        <w:t>shackles</w:t>
      </w:r>
    </w:p>
    <w:p w:rsidR="00000000" w:rsidRPr="00B65AB4" w:rsidP="00B65AB4">
      <w:pPr>
        <w:pStyle w:val="ListBullet"/>
      </w:pPr>
      <w:r w:rsidRPr="00B65AB4">
        <w:t>eyebolts</w:t>
      </w:r>
    </w:p>
    <w:p w:rsidR="00000000" w:rsidRPr="00B65AB4" w:rsidP="00B65AB4">
      <w:pPr>
        <w:pStyle w:val="ListBullet"/>
      </w:pPr>
      <w:r w:rsidRPr="00B65AB4">
        <w:t>plate clamps.</w:t>
      </w:r>
    </w:p>
    <w:p w:rsidR="00000000" w:rsidRPr="00B65AB4" w:rsidP="00B65AB4">
      <w:pPr>
        <w:pStyle w:val="AllowPageBreak"/>
      </w:pPr>
    </w:p>
    <w:p w:rsidR="00000000" w:rsidRPr="00B65AB4" w:rsidP="00B65AB4">
      <w:pPr>
        <w:pStyle w:val="Heading1"/>
      </w:pPr>
      <w:bookmarkStart w:id="11" w:name="O_1294087"/>
      <w:bookmarkEnd w:id="11"/>
      <w:r w:rsidRPr="00B65AB4">
        <w:t>Knowledge Evidence</w:t>
      </w:r>
    </w:p>
    <w:p w:rsidR="00000000" w:rsidRPr="00B65AB4" w:rsidP="00DE65E2">
      <w:pPr>
        <w:pStyle w:val="BodyText"/>
      </w:pPr>
      <w:r w:rsidRPr="00B65AB4">
        <w:t xml:space="preserve">To be competent in this unit, a candidate must demonstrate knowledge of: </w:t>
      </w:r>
    </w:p>
    <w:p w:rsidR="00000000" w:rsidRPr="00B65AB4" w:rsidP="00B65AB4">
      <w:pPr>
        <w:pStyle w:val="ListBullet"/>
      </w:pPr>
      <w:r w:rsidRPr="00B65AB4">
        <w:t>safe work requirem</w:t>
      </w:r>
      <w:r w:rsidRPr="00B65AB4">
        <w:t xml:space="preserve">ents for dogging under Commonwealth and state or territory work health and safety (WHS) legislation, standards and codes of practice </w:t>
      </w:r>
    </w:p>
    <w:p w:rsidR="00000000" w:rsidRPr="00B65AB4" w:rsidP="00B65AB4">
      <w:pPr>
        <w:pStyle w:val="ListBullet"/>
      </w:pPr>
      <w:r w:rsidRPr="00B65AB4">
        <w:t>workplace information, including legislative requirements covered by:</w:t>
      </w:r>
    </w:p>
    <w:p w:rsidR="00000000" w:rsidRPr="00B65AB4" w:rsidP="00B65AB4">
      <w:pPr>
        <w:pStyle w:val="ListBullet2"/>
      </w:pPr>
      <w:r w:rsidRPr="00B65AB4">
        <w:t xml:space="preserve">SWMSs </w:t>
      </w:r>
    </w:p>
    <w:p w:rsidR="00000000" w:rsidRPr="00B65AB4" w:rsidP="00B65AB4">
      <w:pPr>
        <w:pStyle w:val="ListBullet2"/>
      </w:pPr>
      <w:r w:rsidRPr="00B65AB4">
        <w:t>permits and certifications</w:t>
      </w:r>
    </w:p>
    <w:p w:rsidR="00000000" w:rsidRPr="00B65AB4" w:rsidP="00B65AB4">
      <w:pPr>
        <w:pStyle w:val="ListBullet2"/>
      </w:pPr>
      <w:r w:rsidRPr="00B65AB4">
        <w:t xml:space="preserve">information about equipment: </w:t>
      </w:r>
    </w:p>
    <w:p w:rsidR="00000000" w:rsidRPr="00B65AB4" w:rsidP="00B65AB4">
      <w:pPr>
        <w:pStyle w:val="ListBullet3"/>
      </w:pPr>
      <w:r w:rsidRPr="00B65AB4">
        <w:t xml:space="preserve">service and maintenance checklists and records </w:t>
      </w:r>
    </w:p>
    <w:p w:rsidR="00000000" w:rsidRPr="00B65AB4" w:rsidP="00B65AB4">
      <w:pPr>
        <w:pStyle w:val="ListBullet3"/>
      </w:pPr>
      <w:r w:rsidRPr="00B65AB4">
        <w:t xml:space="preserve">manufacturer specifications and manuals </w:t>
      </w:r>
    </w:p>
    <w:p w:rsidR="00000000" w:rsidRPr="00B65AB4" w:rsidP="00B65AB4">
      <w:pPr>
        <w:pStyle w:val="ListBullet2"/>
      </w:pPr>
      <w:r w:rsidRPr="00B65AB4">
        <w:t>workplace procedures, including emergency plans and incident reporting</w:t>
      </w:r>
    </w:p>
    <w:p w:rsidR="00000000" w:rsidRPr="00B65AB4" w:rsidP="00B65AB4">
      <w:pPr>
        <w:pStyle w:val="ListBullet"/>
      </w:pPr>
      <w:r w:rsidRPr="00B65AB4">
        <w:t xml:space="preserve">hazard identification and mitigation strategies, including the </w:t>
      </w:r>
      <w:r w:rsidRPr="00B65AB4">
        <w:t>hierarchy of control:</w:t>
      </w:r>
    </w:p>
    <w:p w:rsidR="00000000" w:rsidRPr="00B65AB4" w:rsidP="00B65AB4">
      <w:pPr>
        <w:pStyle w:val="ListBullet2"/>
      </w:pPr>
      <w:r w:rsidRPr="00B65AB4">
        <w:t>elimination</w:t>
      </w:r>
    </w:p>
    <w:p w:rsidR="00000000" w:rsidRPr="00B65AB4" w:rsidP="00B65AB4">
      <w:pPr>
        <w:pStyle w:val="ListBullet2"/>
      </w:pPr>
      <w:r w:rsidRPr="00B65AB4">
        <w:t>substitution</w:t>
      </w:r>
    </w:p>
    <w:p w:rsidR="00000000" w:rsidRPr="00B65AB4" w:rsidP="00B65AB4">
      <w:pPr>
        <w:pStyle w:val="ListBullet2"/>
      </w:pPr>
      <w:r w:rsidRPr="00B65AB4">
        <w:t>isolation</w:t>
      </w:r>
    </w:p>
    <w:p w:rsidR="00000000" w:rsidRPr="00B65AB4" w:rsidP="00B65AB4">
      <w:pPr>
        <w:pStyle w:val="ListBullet2"/>
      </w:pPr>
      <w:r w:rsidRPr="00B65AB4">
        <w:t>engineering controls</w:t>
      </w:r>
    </w:p>
    <w:p w:rsidR="00000000" w:rsidRPr="00B65AB4" w:rsidP="00B65AB4">
      <w:pPr>
        <w:pStyle w:val="ListBullet2"/>
      </w:pPr>
      <w:r w:rsidRPr="00B65AB4">
        <w:t>administrative controls</w:t>
      </w:r>
    </w:p>
    <w:p w:rsidR="00000000" w:rsidRPr="00B65AB4" w:rsidP="00B65AB4">
      <w:pPr>
        <w:pStyle w:val="ListBullet2"/>
      </w:pPr>
      <w:r w:rsidRPr="00B65AB4">
        <w:t>use of personal protective equipment (PPE)</w:t>
      </w:r>
    </w:p>
    <w:p w:rsidR="00000000" w:rsidRPr="00B65AB4" w:rsidP="00B65AB4">
      <w:pPr>
        <w:pStyle w:val="ListBullet"/>
      </w:pPr>
      <w:r w:rsidRPr="00B65AB4">
        <w:t xml:space="preserve">hazards commonly encountered in dogging: </w:t>
      </w:r>
    </w:p>
    <w:p w:rsidR="00000000" w:rsidRPr="00B65AB4" w:rsidP="00B65AB4">
      <w:pPr>
        <w:pStyle w:val="ListBullet2"/>
      </w:pPr>
      <w:r w:rsidRPr="00B65AB4">
        <w:t>instability of landing surfaces</w:t>
      </w:r>
    </w:p>
    <w:p w:rsidR="00000000" w:rsidRPr="00B65AB4" w:rsidP="00B65AB4">
      <w:pPr>
        <w:pStyle w:val="ListBullet2"/>
      </w:pPr>
      <w:r w:rsidRPr="00B65AB4">
        <w:t>overhead and underground hazards</w:t>
      </w:r>
    </w:p>
    <w:p w:rsidR="00000000" w:rsidRPr="00B65AB4" w:rsidP="00B65AB4">
      <w:pPr>
        <w:pStyle w:val="ListBullet2"/>
      </w:pPr>
      <w:r w:rsidRPr="00B65AB4">
        <w:t>insufficient lighting</w:t>
      </w:r>
    </w:p>
    <w:p w:rsidR="00000000" w:rsidRPr="00B65AB4" w:rsidP="00B65AB4">
      <w:pPr>
        <w:pStyle w:val="ListBullet2"/>
      </w:pPr>
      <w:r w:rsidRPr="00B65AB4">
        <w:t xml:space="preserve">traffic </w:t>
      </w:r>
    </w:p>
    <w:p w:rsidR="00000000" w:rsidRPr="00B65AB4" w:rsidP="00B65AB4">
      <w:pPr>
        <w:pStyle w:val="ListBullet2"/>
      </w:pPr>
      <w:r w:rsidRPr="00B65AB4">
        <w:t xml:space="preserve">weather </w:t>
      </w:r>
    </w:p>
    <w:p w:rsidR="00000000" w:rsidRPr="00B65AB4" w:rsidP="00B65AB4">
      <w:pPr>
        <w:pStyle w:val="ListBullet2"/>
      </w:pPr>
      <w:r w:rsidRPr="00B65AB4">
        <w:t>pedestrian traffic</w:t>
      </w:r>
    </w:p>
    <w:p w:rsidR="00000000" w:rsidRPr="00B65AB4" w:rsidP="00B65AB4">
      <w:pPr>
        <w:pStyle w:val="ListBullet2"/>
      </w:pPr>
      <w:r w:rsidRPr="00B65AB4">
        <w:t>work at heights</w:t>
      </w:r>
    </w:p>
    <w:p w:rsidR="00000000" w:rsidRPr="00B65AB4" w:rsidP="00B65AB4">
      <w:pPr>
        <w:pStyle w:val="ListBullet"/>
      </w:pPr>
      <w:r w:rsidRPr="00B65AB4">
        <w:t>risk controls and equipment:</w:t>
      </w:r>
    </w:p>
    <w:p w:rsidR="00000000" w:rsidRPr="00B65AB4" w:rsidP="00B65AB4">
      <w:pPr>
        <w:pStyle w:val="ListBullet2"/>
      </w:pPr>
      <w:r w:rsidRPr="00B65AB4">
        <w:t xml:space="preserve">traffic management plan </w:t>
      </w:r>
    </w:p>
    <w:p w:rsidR="00000000" w:rsidRPr="00B65AB4" w:rsidP="00B65AB4">
      <w:pPr>
        <w:pStyle w:val="ListBullet2"/>
      </w:pPr>
      <w:r w:rsidRPr="00B65AB4">
        <w:t>traffic barricades and control</w:t>
      </w:r>
    </w:p>
    <w:p w:rsidR="00000000" w:rsidRPr="00B65AB4" w:rsidP="00B65AB4">
      <w:pPr>
        <w:pStyle w:val="ListBullet2"/>
      </w:pPr>
      <w:r w:rsidRPr="00B65AB4">
        <w:t>exclusion zones</w:t>
      </w:r>
    </w:p>
    <w:p w:rsidR="00000000" w:rsidRPr="00B65AB4" w:rsidP="00B65AB4">
      <w:pPr>
        <w:pStyle w:val="ListBullet2"/>
      </w:pPr>
      <w:r w:rsidRPr="00B65AB4">
        <w:t>pedestrian barricades</w:t>
      </w:r>
    </w:p>
    <w:p w:rsidR="00000000" w:rsidRPr="00B65AB4" w:rsidP="00B65AB4">
      <w:pPr>
        <w:pStyle w:val="ListBullet2"/>
      </w:pPr>
      <w:r w:rsidRPr="00B65AB4">
        <w:t>PPE</w:t>
      </w:r>
    </w:p>
    <w:p w:rsidR="00000000" w:rsidRPr="00B65AB4" w:rsidP="00B65AB4">
      <w:pPr>
        <w:pStyle w:val="ListBullet2"/>
      </w:pPr>
      <w:r w:rsidRPr="00B65AB4">
        <w:t>lights</w:t>
      </w:r>
    </w:p>
    <w:p w:rsidR="00000000" w:rsidRPr="00B65AB4" w:rsidP="00B65AB4">
      <w:pPr>
        <w:pStyle w:val="ListBullet2"/>
      </w:pPr>
      <w:r w:rsidRPr="00B65AB4">
        <w:t>fall prevention and fall arrest equipment</w:t>
      </w:r>
    </w:p>
    <w:p w:rsidR="00000000" w:rsidRPr="00B65AB4" w:rsidP="00B65AB4">
      <w:pPr>
        <w:pStyle w:val="ListBullet"/>
      </w:pPr>
      <w:r w:rsidRPr="00B65AB4">
        <w:t xml:space="preserve">PPE: </w:t>
      </w:r>
    </w:p>
    <w:p w:rsidR="00000000" w:rsidRPr="00B65AB4" w:rsidP="00B65AB4">
      <w:pPr>
        <w:pStyle w:val="ListBullet2"/>
      </w:pPr>
      <w:r w:rsidRPr="00B65AB4">
        <w:t>hard hat</w:t>
      </w:r>
    </w:p>
    <w:p w:rsidR="00000000" w:rsidRPr="00B65AB4" w:rsidP="00B65AB4">
      <w:pPr>
        <w:pStyle w:val="ListBullet2"/>
      </w:pPr>
      <w:r w:rsidRPr="00B65AB4">
        <w:t>safety boots</w:t>
      </w:r>
    </w:p>
    <w:p w:rsidR="00000000" w:rsidRPr="00B65AB4" w:rsidP="00B65AB4">
      <w:pPr>
        <w:pStyle w:val="ListBullet2"/>
      </w:pPr>
      <w:r w:rsidRPr="00B65AB4">
        <w:t>gloves</w:t>
      </w:r>
    </w:p>
    <w:p w:rsidR="00000000" w:rsidRPr="00B65AB4" w:rsidP="00B65AB4">
      <w:pPr>
        <w:pStyle w:val="ListBullet2"/>
      </w:pPr>
      <w:r w:rsidRPr="00B65AB4">
        <w:t>high-visibility clothing</w:t>
      </w:r>
    </w:p>
    <w:p w:rsidR="00000000" w:rsidRPr="00B65AB4" w:rsidP="00B65AB4">
      <w:pPr>
        <w:pStyle w:val="ListBullet2"/>
      </w:pPr>
      <w:r w:rsidRPr="00B65AB4">
        <w:t>breathing, hearing, sight and skin and sun protection</w:t>
      </w:r>
    </w:p>
    <w:p w:rsidR="00000000" w:rsidRPr="00B65AB4" w:rsidP="00B65AB4">
      <w:pPr>
        <w:pStyle w:val="ListBullet"/>
      </w:pPr>
      <w:r w:rsidRPr="00B65AB4">
        <w:t>hand, whistle and two-way radio communication, including signals for:</w:t>
      </w:r>
    </w:p>
    <w:p w:rsidR="00000000" w:rsidRPr="00B65AB4" w:rsidP="00B65AB4">
      <w:pPr>
        <w:pStyle w:val="ListBullet2"/>
      </w:pPr>
      <w:r w:rsidRPr="00B65AB4">
        <w:t>stop</w:t>
      </w:r>
    </w:p>
    <w:p w:rsidR="00000000" w:rsidRPr="00B65AB4" w:rsidP="00B65AB4">
      <w:pPr>
        <w:pStyle w:val="ListBullet2"/>
      </w:pPr>
      <w:r w:rsidRPr="00B65AB4">
        <w:t>hoist up and down</w:t>
      </w:r>
    </w:p>
    <w:p w:rsidR="00000000" w:rsidRPr="00B65AB4" w:rsidP="00B65AB4">
      <w:pPr>
        <w:pStyle w:val="ListBullet2"/>
      </w:pPr>
      <w:r w:rsidRPr="00B65AB4">
        <w:t>luff boom up and down</w:t>
      </w:r>
    </w:p>
    <w:p w:rsidR="00000000" w:rsidRPr="00B65AB4" w:rsidP="00B65AB4">
      <w:pPr>
        <w:pStyle w:val="ListBullet2"/>
      </w:pPr>
      <w:r w:rsidRPr="00B65AB4">
        <w:t>telescope in and out</w:t>
      </w:r>
    </w:p>
    <w:p w:rsidR="00000000" w:rsidRPr="00B65AB4" w:rsidP="00B65AB4">
      <w:pPr>
        <w:pStyle w:val="ListBullet2"/>
      </w:pPr>
      <w:r w:rsidRPr="00B65AB4">
        <w:t>slew left and right</w:t>
      </w:r>
    </w:p>
    <w:p w:rsidR="00000000" w:rsidRPr="00B65AB4" w:rsidP="00B65AB4">
      <w:pPr>
        <w:pStyle w:val="ListBullet"/>
      </w:pPr>
      <w:r w:rsidRPr="00B65AB4">
        <w:t>selection, inspection, care, handling, application, limitations and storage of dogging equipment and gear:</w:t>
      </w:r>
    </w:p>
    <w:p w:rsidR="00000000" w:rsidRPr="00B65AB4" w:rsidP="00B65AB4">
      <w:pPr>
        <w:pStyle w:val="ListBullet2"/>
      </w:pPr>
      <w:r w:rsidRPr="00B65AB4">
        <w:t>(FSWR sling</w:t>
      </w:r>
    </w:p>
    <w:p w:rsidR="00000000" w:rsidRPr="00B65AB4" w:rsidP="00B65AB4">
      <w:pPr>
        <w:pStyle w:val="ListBullet2"/>
      </w:pPr>
      <w:r w:rsidRPr="00B65AB4">
        <w:t>synthetic sling</w:t>
      </w:r>
    </w:p>
    <w:p w:rsidR="00000000" w:rsidRPr="00B65AB4" w:rsidP="00B65AB4">
      <w:pPr>
        <w:pStyle w:val="ListBullet2"/>
      </w:pPr>
      <w:r w:rsidRPr="00B65AB4">
        <w:t xml:space="preserve">chain sling (including shortener) </w:t>
      </w:r>
    </w:p>
    <w:p w:rsidR="00000000" w:rsidRPr="00B65AB4" w:rsidP="00B65AB4">
      <w:pPr>
        <w:pStyle w:val="ListBullet2"/>
      </w:pPr>
      <w:r w:rsidRPr="00B65AB4">
        <w:t>spreader bar or lifting beam</w:t>
      </w:r>
    </w:p>
    <w:p w:rsidR="00000000" w:rsidRPr="00B65AB4" w:rsidP="00B65AB4">
      <w:pPr>
        <w:pStyle w:val="ListBullet2"/>
      </w:pPr>
      <w:r w:rsidRPr="00B65AB4">
        <w:t>tag line</w:t>
      </w:r>
    </w:p>
    <w:p w:rsidR="00000000" w:rsidRPr="00B65AB4" w:rsidP="00B65AB4">
      <w:pPr>
        <w:pStyle w:val="ListBullet2"/>
      </w:pPr>
      <w:r w:rsidRPr="00B65AB4">
        <w:t>shackles</w:t>
      </w:r>
    </w:p>
    <w:p w:rsidR="00000000" w:rsidRPr="00B65AB4" w:rsidP="00B65AB4">
      <w:pPr>
        <w:pStyle w:val="ListBullet2"/>
      </w:pPr>
      <w:r w:rsidRPr="00B65AB4">
        <w:t>eyebolts</w:t>
      </w:r>
    </w:p>
    <w:p w:rsidR="00000000" w:rsidRPr="00B65AB4" w:rsidP="00B65AB4">
      <w:pPr>
        <w:pStyle w:val="ListBullet2"/>
      </w:pPr>
      <w:r w:rsidRPr="00B65AB4">
        <w:t>plate clamps</w:t>
      </w:r>
    </w:p>
    <w:p w:rsidR="00000000" w:rsidRPr="00B65AB4" w:rsidP="00B65AB4">
      <w:pPr>
        <w:pStyle w:val="ListBullet"/>
      </w:pPr>
      <w:r w:rsidRPr="00B65AB4">
        <w:t xml:space="preserve">slinging techniques </w:t>
      </w:r>
    </w:p>
    <w:p w:rsidR="00000000" w:rsidRPr="00B65AB4" w:rsidP="00B65AB4">
      <w:pPr>
        <w:pStyle w:val="ListBullet"/>
      </w:pPr>
      <w:r w:rsidRPr="00B65AB4">
        <w:t>load destination stability, load capacity and safe access for walking and unpacking the load:</w:t>
      </w:r>
    </w:p>
    <w:p w:rsidR="00000000" w:rsidRPr="00B65AB4" w:rsidP="00B65AB4">
      <w:pPr>
        <w:pStyle w:val="ListBullet2"/>
      </w:pPr>
      <w:r w:rsidRPr="00B65AB4">
        <w:t>ground</w:t>
      </w:r>
    </w:p>
    <w:p w:rsidR="00000000" w:rsidRPr="00B65AB4" w:rsidP="00B65AB4">
      <w:pPr>
        <w:pStyle w:val="ListBullet2"/>
      </w:pPr>
      <w:r w:rsidRPr="00B65AB4">
        <w:t>loading platforms</w:t>
      </w:r>
    </w:p>
    <w:p w:rsidR="00000000" w:rsidRPr="00B65AB4" w:rsidP="00B65AB4">
      <w:pPr>
        <w:pStyle w:val="ListBullet2"/>
      </w:pPr>
      <w:r w:rsidRPr="00B65AB4">
        <w:t xml:space="preserve">suspended floors </w:t>
      </w:r>
    </w:p>
    <w:p w:rsidR="00000000" w:rsidRPr="00B65AB4" w:rsidP="00B65AB4">
      <w:pPr>
        <w:pStyle w:val="ListBullet2"/>
      </w:pPr>
      <w:r w:rsidRPr="00B65AB4">
        <w:t>vehicles</w:t>
      </w:r>
    </w:p>
    <w:p w:rsidR="00000000" w:rsidRPr="00B65AB4" w:rsidP="00B65AB4">
      <w:pPr>
        <w:pStyle w:val="ListBullet"/>
      </w:pPr>
      <w:r w:rsidRPr="00B65AB4">
        <w:t>mathematical processes for calculating deration of WLL of lifting equipme</w:t>
      </w:r>
      <w:r w:rsidRPr="00B65AB4">
        <w:t xml:space="preserve">nt and gear due to slinging techniques </w:t>
      </w:r>
    </w:p>
    <w:p w:rsidR="00000000" w:rsidRPr="00B65AB4" w:rsidP="00B65AB4">
      <w:pPr>
        <w:pStyle w:val="ListBullet"/>
      </w:pPr>
      <w:r w:rsidRPr="00B65AB4">
        <w:t>methods of making temporary connections to loads using fibre and synthetic ropes:</w:t>
      </w:r>
    </w:p>
    <w:p w:rsidR="00000000" w:rsidRPr="00B65AB4" w:rsidP="00B65AB4">
      <w:pPr>
        <w:pStyle w:val="ListBullet2"/>
      </w:pPr>
      <w:r w:rsidRPr="00B65AB4">
        <w:t>single sheet bend</w:t>
      </w:r>
    </w:p>
    <w:p w:rsidR="00000000" w:rsidRPr="00B65AB4" w:rsidP="00B65AB4">
      <w:pPr>
        <w:pStyle w:val="ListBullet2"/>
      </w:pPr>
      <w:r w:rsidRPr="00B65AB4">
        <w:t>clove hitch</w:t>
      </w:r>
    </w:p>
    <w:p w:rsidR="00000000" w:rsidRPr="00B65AB4" w:rsidP="00B65AB4">
      <w:pPr>
        <w:pStyle w:val="ListBullet2"/>
      </w:pPr>
      <w:r w:rsidRPr="00B65AB4">
        <w:t>rolling hitch</w:t>
      </w:r>
    </w:p>
    <w:p w:rsidR="00000000" w:rsidRPr="00B65AB4" w:rsidP="00B65AB4">
      <w:pPr>
        <w:pStyle w:val="ListBullet2"/>
      </w:pPr>
      <w:r w:rsidRPr="00B65AB4">
        <w:t>bowline.</w:t>
      </w:r>
    </w:p>
    <w:p w:rsidR="00000000" w:rsidRPr="00B65AB4" w:rsidP="00B65AB4">
      <w:pPr>
        <w:pStyle w:val="AllowPageBreak"/>
      </w:pPr>
    </w:p>
    <w:p w:rsidR="00000000" w:rsidRPr="00B65AB4" w:rsidP="00B65AB4">
      <w:pPr>
        <w:pStyle w:val="Heading1"/>
      </w:pPr>
      <w:bookmarkStart w:id="12" w:name="O_1294086"/>
      <w:bookmarkEnd w:id="12"/>
      <w:r w:rsidRPr="00B65AB4">
        <w:t>Assessment Conditions</w:t>
      </w:r>
    </w:p>
    <w:p w:rsidR="00000000" w:rsidRPr="00B65AB4" w:rsidP="00DE65E2">
      <w:pPr>
        <w:pStyle w:val="BodyText"/>
      </w:pPr>
      <w:r w:rsidRPr="00B65AB4">
        <w:t xml:space="preserve">Assessors must meet </w:t>
      </w:r>
      <w:r w:rsidRPr="00B65AB4">
        <w:t xml:space="preserve">the requirements for assessors outlined in the Standards for Registered Training Organisations. </w:t>
      </w:r>
    </w:p>
    <w:p w:rsidR="00000000" w:rsidRPr="00B65AB4" w:rsidP="00DE65E2">
      <w:pPr>
        <w:pStyle w:val="BodyText"/>
      </w:pPr>
      <w:r w:rsidRPr="00B65AB4">
        <w:t>Only assessors who are accredited in the licence class by the appropriate WHS regulator for the jurisdiction governing the licence are permitted to conduct the</w:t>
      </w:r>
      <w:r w:rsidRPr="00B65AB4">
        <w:t xml:space="preserve"> final high-risk work licence assessment. The final licence assessment will only be undertaken with candidates who have completed training and been formally assessed against all elements in this unit. </w:t>
      </w:r>
    </w:p>
    <w:p w:rsidR="00000000" w:rsidRPr="00B65AB4" w:rsidP="00DE65E2">
      <w:pPr>
        <w:pStyle w:val="BodyText"/>
      </w:pPr>
      <w:r w:rsidRPr="00B65AB4">
        <w:t xml:space="preserve">Assessment must be conducted in the workplace or in a </w:t>
      </w:r>
      <w:r w:rsidRPr="00B65AB4">
        <w:t>simulated workplace environment using realistic workplace conditions, materials, activities, responsibilities, procedures, safety requirements and environmental considerations, including:</w:t>
      </w:r>
    </w:p>
    <w:p w:rsidR="00000000" w:rsidRPr="00B65AB4" w:rsidP="00B65AB4">
      <w:pPr>
        <w:pStyle w:val="ListBullet"/>
      </w:pPr>
      <w:r w:rsidRPr="00B65AB4">
        <w:t>the use of full-scale, industry-standard equipment, not simulators</w:t>
      </w:r>
    </w:p>
    <w:p w:rsidR="00000000" w:rsidRPr="00B65AB4" w:rsidP="00B65AB4">
      <w:pPr>
        <w:pStyle w:val="ListBullet"/>
      </w:pPr>
      <w:r w:rsidRPr="00B65AB4">
        <w:t>performance of tasks within the timelines expected in a workplace.</w:t>
      </w:r>
    </w:p>
    <w:p w:rsidR="00000000" w:rsidRPr="00B65AB4" w:rsidP="00DE65E2">
      <w:pPr>
        <w:pStyle w:val="BodyText"/>
      </w:pPr>
      <w:r w:rsidRPr="00B65AB4">
        <w:t>Candidates must have access to:</w:t>
      </w:r>
    </w:p>
    <w:p w:rsidR="00000000" w:rsidRPr="00B65AB4" w:rsidP="00B65AB4">
      <w:pPr>
        <w:pStyle w:val="ListBullet"/>
      </w:pPr>
      <w:r w:rsidRPr="00B65AB4">
        <w:t xml:space="preserve">a slewing mobile crane of at least seven tonnes maximum rated capacity, and lifting equipment and gear in a safe and compliant condition </w:t>
      </w:r>
    </w:p>
    <w:p w:rsidR="00000000" w:rsidRPr="00B65AB4" w:rsidP="00B65AB4">
      <w:pPr>
        <w:pStyle w:val="ListBullet"/>
      </w:pPr>
      <w:r w:rsidRPr="00B65AB4">
        <w:t>loads and equipment required to perform the tasks specified in the Performance Evidence</w:t>
      </w:r>
    </w:p>
    <w:p w:rsidR="00000000" w:rsidRPr="00B65AB4" w:rsidP="00B65AB4">
      <w:pPr>
        <w:pStyle w:val="ListBullet"/>
      </w:pPr>
      <w:r w:rsidRPr="00B65AB4">
        <w:t>a licensed crane operator to undertake lifting activity</w:t>
      </w:r>
    </w:p>
    <w:p w:rsidR="00000000" w:rsidRPr="00B65AB4" w:rsidP="00B65AB4">
      <w:pPr>
        <w:pStyle w:val="ListBullet"/>
      </w:pPr>
      <w:r w:rsidRPr="00B65AB4">
        <w:t xml:space="preserve">workplace information and records, including: </w:t>
      </w:r>
    </w:p>
    <w:p w:rsidR="00000000" w:rsidRPr="00B65AB4" w:rsidP="00B65AB4">
      <w:pPr>
        <w:pStyle w:val="ListBullet2"/>
      </w:pPr>
      <w:r w:rsidRPr="00B65AB4">
        <w:t>equipment and maintenance checklists</w:t>
      </w:r>
    </w:p>
    <w:p w:rsidR="00000000" w:rsidRPr="00B65AB4" w:rsidP="00B65AB4">
      <w:pPr>
        <w:pStyle w:val="ListBullet2"/>
      </w:pPr>
      <w:r w:rsidRPr="00B65AB4">
        <w:t>record system for service a</w:t>
      </w:r>
      <w:r w:rsidRPr="00B65AB4">
        <w:t>nd maintenance history</w:t>
      </w:r>
    </w:p>
    <w:p w:rsidR="00000000" w:rsidRPr="00B65AB4" w:rsidP="00B65AB4">
      <w:pPr>
        <w:pStyle w:val="ListBullet2"/>
      </w:pPr>
      <w:r w:rsidRPr="00B65AB4">
        <w:t>incident reports</w:t>
      </w:r>
    </w:p>
    <w:p w:rsidR="00000000" w:rsidRPr="00B65AB4" w:rsidP="00B65AB4">
      <w:pPr>
        <w:pStyle w:val="ListBullet2"/>
      </w:pPr>
      <w:r w:rsidRPr="00B65AB4">
        <w:t>workplace procedures, including emergency plan</w:t>
      </w:r>
    </w:p>
    <w:p w:rsidR="00000000" w:rsidRPr="00B65AB4" w:rsidP="00B65AB4">
      <w:pPr>
        <w:pStyle w:val="ListBullet2"/>
      </w:pPr>
      <w:r w:rsidRPr="00B65AB4">
        <w:t>equipment manuals and manufacturer specifications.</w:t>
      </w:r>
    </w:p>
    <w:p w:rsidR="00000000" w:rsidRPr="00B65AB4" w:rsidP="00B65AB4">
      <w:pPr>
        <w:pStyle w:val="AllowPageBreak"/>
      </w:pPr>
    </w:p>
    <w:p w:rsidR="00000000" w:rsidRPr="00B65AB4" w:rsidP="00B65AB4">
      <w:pPr>
        <w:pStyle w:val="Heading1"/>
      </w:pPr>
      <w:bookmarkStart w:id="13" w:name="O_1294099"/>
      <w:bookmarkEnd w:id="13"/>
      <w:r w:rsidRPr="00B65AB4">
        <w:t>Links</w:t>
      </w:r>
    </w:p>
    <w:p w:rsidR="00000000" w:rsidRPr="00B65AB4" w:rsidP="00DE65E2">
      <w:pPr>
        <w:pStyle w:val="BodyText"/>
      </w:pPr>
      <w:r w:rsidRPr="00B65AB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A0DF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65AB4" w:rsidP="00B65AB4"/>
    <w:sectPr w:rsidSect="00B65AB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A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AB4" w:rsidRPr="00DE65E2" w:rsidP="00DE65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A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5E2" w:rsidP="00B65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E65E2" w:rsidP="00B65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E65E2" w:rsidP="00B65AB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AB4" w:rsidP="00B65A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65E2">
      <w:t>Approved</w:t>
    </w:r>
    <w:r w:rsidR="00DE65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65E2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65E2">
      <w:rPr>
        <w:noProof/>
      </w:rPr>
      <w:t>7</w:t>
    </w:r>
    <w:r>
      <w:rPr>
        <w:noProof/>
      </w:rPr>
      <w:fldChar w:fldCharType="end"/>
    </w:r>
  </w:p>
  <w:p w:rsidR="00B65AB4" w:rsidP="00B65A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65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65E2">
      <w:t>BuildSkills Australia</w:t>
    </w:r>
    <w:r w:rsidR="00DE65E2">
      <w:fldChar w:fldCharType="end"/>
    </w:r>
  </w:p>
  <w:p w:rsidR="00B65AB4" w:rsidP="00B65A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A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5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AB4" w:rsidRPr="00DE65E2" w:rsidP="00DE65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A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65E2" w:rsidRPr="002D2AF8" w:rsidP="00B65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CPCCLDG3001 Licence to perform dogging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65E2" w:rsidP="00B65AB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AB4" w:rsidRPr="002D2AF8" w:rsidP="00B65A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65E2">
      <w:t>CPCCLDG3001 Licence to perform dogging</w:t>
    </w:r>
    <w:r w:rsidR="00DE65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65E2">
      <w:rPr>
        <w:noProof/>
      </w:rPr>
      <w:t>2 March 2025</w:t>
    </w:r>
    <w:r>
      <w:fldChar w:fldCharType="end"/>
    </w:r>
  </w:p>
  <w:p w:rsidR="00B65AB4" w:rsidP="00B65A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F0E42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560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69D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A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A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A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A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A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A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A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A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A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A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A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AB4"/>
  </w:style>
  <w:style w:type="character" w:customStyle="1" w:styleId="Heading1Char">
    <w:name w:val="Heading 1 Char"/>
    <w:basedOn w:val="DefaultParagraphFont"/>
    <w:link w:val="Heading1"/>
    <w:rsid w:val="00B65A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A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A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5AB4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65AB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5A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A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5AB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5A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A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A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A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A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A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A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A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A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A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A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A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A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A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A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A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5A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5A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65AB4"/>
    <w:rPr>
      <w:b/>
      <w:spacing w:val="0"/>
    </w:rPr>
  </w:style>
  <w:style w:type="paragraph" w:customStyle="1" w:styleId="SuperTitle">
    <w:name w:val="SuperTitle"/>
    <w:basedOn w:val="Title"/>
    <w:rsid w:val="00B65A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A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A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A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A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A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A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A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A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A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A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A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5AB4"/>
    <w:rPr>
      <w:i/>
    </w:rPr>
  </w:style>
  <w:style w:type="paragraph" w:styleId="Caption">
    <w:name w:val="caption"/>
    <w:basedOn w:val="BodyText"/>
    <w:next w:val="Normal"/>
    <w:qFormat/>
    <w:rsid w:val="00B65A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A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A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AB4"/>
  </w:style>
  <w:style w:type="paragraph" w:styleId="TableofFigures">
    <w:name w:val="table of figures"/>
    <w:basedOn w:val="Normal"/>
    <w:next w:val="Normal"/>
    <w:semiHidden/>
    <w:rsid w:val="00B65A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AB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5AB4"/>
    <w:rPr>
      <w:rFonts w:ascii="Wingdings" w:hAnsi="Wingdings"/>
    </w:rPr>
  </w:style>
  <w:style w:type="paragraph" w:customStyle="1" w:styleId="TableHeading">
    <w:name w:val="Table Heading"/>
    <w:basedOn w:val="HeadingBase"/>
    <w:rsid w:val="00B65A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AB4"/>
    <w:rPr>
      <w:color w:val="0033CC"/>
      <w:u w:val="none"/>
    </w:rPr>
  </w:style>
  <w:style w:type="paragraph" w:customStyle="1" w:styleId="BodyTextRight">
    <w:name w:val="Body Text Right"/>
    <w:basedOn w:val="BodyText"/>
    <w:rsid w:val="00B65A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A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AB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A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A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A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AB4"/>
    <w:rPr>
      <w:sz w:val="32"/>
    </w:rPr>
  </w:style>
  <w:style w:type="paragraph" w:customStyle="1" w:styleId="HeadingProcedure">
    <w:name w:val="Heading Procedure"/>
    <w:basedOn w:val="HeadingBase"/>
    <w:next w:val="Normal"/>
    <w:rsid w:val="00B65A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AB4"/>
    <w:pPr>
      <w:spacing w:before="60" w:after="60"/>
    </w:pPr>
  </w:style>
  <w:style w:type="paragraph" w:styleId="ListContinue">
    <w:name w:val="List Continue"/>
    <w:basedOn w:val="List"/>
    <w:rsid w:val="00B65AB4"/>
    <w:pPr>
      <w:ind w:firstLine="0"/>
    </w:pPr>
  </w:style>
  <w:style w:type="paragraph" w:customStyle="1" w:styleId="ListNote">
    <w:name w:val="List Note"/>
    <w:basedOn w:val="List"/>
    <w:rsid w:val="00B65A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A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A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AB4"/>
    <w:rPr>
      <w:rFonts w:ascii="Courier New" w:hAnsi="Courier New"/>
    </w:rPr>
  </w:style>
  <w:style w:type="paragraph" w:customStyle="1" w:styleId="NoteBullet">
    <w:name w:val="Note Bullet"/>
    <w:basedOn w:val="Note"/>
    <w:rsid w:val="00B65A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A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A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A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AB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5A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A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AB4"/>
    <w:rPr>
      <w:b/>
      <w:smallCaps/>
    </w:rPr>
  </w:style>
  <w:style w:type="paragraph" w:customStyle="1" w:styleId="TableListNumber">
    <w:name w:val="Table List Number"/>
    <w:basedOn w:val="ListNumber"/>
    <w:rsid w:val="00B65A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A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AB4"/>
    <w:pPr>
      <w:numPr>
        <w:numId w:val="10"/>
      </w:numPr>
    </w:pPr>
  </w:style>
  <w:style w:type="paragraph" w:customStyle="1" w:styleId="ListAlpha2">
    <w:name w:val="List Alpha 2"/>
    <w:basedOn w:val="List2"/>
    <w:rsid w:val="00B65AB4"/>
    <w:pPr>
      <w:numPr>
        <w:numId w:val="9"/>
      </w:numPr>
    </w:pPr>
  </w:style>
  <w:style w:type="paragraph" w:styleId="List2">
    <w:name w:val="List 2"/>
    <w:basedOn w:val="BodyText"/>
    <w:rsid w:val="00B65A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A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A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AB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5AB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5AB4"/>
    <w:pPr>
      <w:numPr>
        <w:numId w:val="5"/>
      </w:numPr>
    </w:pPr>
  </w:style>
  <w:style w:type="paragraph" w:styleId="ListContinue2">
    <w:name w:val="List Continue 2"/>
    <w:basedOn w:val="List2"/>
    <w:rsid w:val="00B65AB4"/>
    <w:pPr>
      <w:ind w:firstLine="0"/>
    </w:pPr>
  </w:style>
  <w:style w:type="paragraph" w:styleId="ListContinue3">
    <w:name w:val="List Continue 3"/>
    <w:basedOn w:val="List3"/>
    <w:rsid w:val="00B65AB4"/>
    <w:pPr>
      <w:ind w:left="1021" w:firstLine="0"/>
    </w:pPr>
  </w:style>
  <w:style w:type="paragraph" w:styleId="ListContinue4">
    <w:name w:val="List Continue 4"/>
    <w:basedOn w:val="List4"/>
    <w:rsid w:val="00B65AB4"/>
    <w:pPr>
      <w:ind w:firstLine="0"/>
    </w:pPr>
  </w:style>
  <w:style w:type="paragraph" w:styleId="ListContinue5">
    <w:name w:val="List Continue 5"/>
    <w:basedOn w:val="List5"/>
    <w:rsid w:val="00B65AB4"/>
    <w:pPr>
      <w:ind w:firstLine="0"/>
    </w:pPr>
  </w:style>
  <w:style w:type="paragraph" w:styleId="ListNumber3">
    <w:name w:val="List Number 3"/>
    <w:basedOn w:val="List3"/>
    <w:rsid w:val="00B65AB4"/>
    <w:pPr>
      <w:numPr>
        <w:numId w:val="6"/>
      </w:numPr>
    </w:pPr>
  </w:style>
  <w:style w:type="paragraph" w:styleId="ListNumber4">
    <w:name w:val="List Number 4"/>
    <w:basedOn w:val="List4"/>
    <w:rsid w:val="00B65AB4"/>
    <w:pPr>
      <w:numPr>
        <w:numId w:val="7"/>
      </w:numPr>
    </w:pPr>
  </w:style>
  <w:style w:type="paragraph" w:styleId="ListNumber5">
    <w:name w:val="List Number 5"/>
    <w:basedOn w:val="List5"/>
    <w:rsid w:val="00B65AB4"/>
    <w:pPr>
      <w:numPr>
        <w:numId w:val="8"/>
      </w:numPr>
    </w:pPr>
  </w:style>
  <w:style w:type="paragraph" w:styleId="BlockText">
    <w:name w:val="Block Text"/>
    <w:basedOn w:val="Normal"/>
    <w:rsid w:val="00B65A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A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AB4"/>
    <w:rPr>
      <w:sz w:val="16"/>
      <w:vertAlign w:val="superscript"/>
    </w:rPr>
  </w:style>
  <w:style w:type="character" w:customStyle="1" w:styleId="Symbols">
    <w:name w:val="Symbols"/>
    <w:basedOn w:val="DefaultParagraphFont"/>
    <w:rsid w:val="00B65AB4"/>
    <w:rPr>
      <w:rFonts w:ascii="Symbol" w:hAnsi="Symbol"/>
    </w:rPr>
  </w:style>
  <w:style w:type="character" w:customStyle="1" w:styleId="MenuOptions">
    <w:name w:val="Menu Options"/>
    <w:basedOn w:val="DefaultParagraphFont"/>
    <w:rsid w:val="00B65A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AB4"/>
    <w:rPr>
      <w:b/>
    </w:rPr>
  </w:style>
  <w:style w:type="character" w:customStyle="1" w:styleId="Underlined">
    <w:name w:val="Underlined"/>
    <w:basedOn w:val="DefaultParagraphFont"/>
    <w:rsid w:val="00B65AB4"/>
    <w:rPr>
      <w:u w:val="single"/>
    </w:rPr>
  </w:style>
  <w:style w:type="paragraph" w:customStyle="1" w:styleId="TableBodyTextRight">
    <w:name w:val="Table Body Text Right"/>
    <w:basedOn w:val="TableBodyText"/>
    <w:rsid w:val="00B65A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AB4"/>
    <w:rPr>
      <w:sz w:val="18"/>
    </w:rPr>
  </w:style>
  <w:style w:type="paragraph" w:customStyle="1" w:styleId="BodySmallRight">
    <w:name w:val="Body Small Right"/>
    <w:basedOn w:val="BodyTextRight"/>
    <w:rsid w:val="00B65AB4"/>
    <w:rPr>
      <w:sz w:val="18"/>
      <w:szCs w:val="18"/>
    </w:rPr>
  </w:style>
  <w:style w:type="paragraph" w:customStyle="1" w:styleId="MarginEdition">
    <w:name w:val="Margin Edition"/>
    <w:basedOn w:val="MarginNote"/>
    <w:rsid w:val="00B65A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AB4"/>
    <w:rPr>
      <w:sz w:val="2"/>
      <w:szCs w:val="2"/>
    </w:rPr>
  </w:style>
  <w:style w:type="character" w:customStyle="1" w:styleId="Small">
    <w:name w:val="Small"/>
    <w:basedOn w:val="DefaultParagraphFont"/>
    <w:rsid w:val="00B65AB4"/>
    <w:rPr>
      <w:sz w:val="16"/>
    </w:rPr>
  </w:style>
  <w:style w:type="paragraph" w:customStyle="1" w:styleId="WideTable">
    <w:name w:val="Wide Table"/>
    <w:basedOn w:val="Normal"/>
    <w:rsid w:val="00B65A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AB4"/>
  </w:style>
  <w:style w:type="paragraph" w:styleId="Quote">
    <w:name w:val="Quote"/>
    <w:basedOn w:val="Heading1"/>
    <w:link w:val="QuoteChar"/>
    <w:qFormat/>
    <w:rsid w:val="00B65A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A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AB4"/>
    <w:pPr>
      <w:pageBreakBefore/>
    </w:pPr>
  </w:style>
  <w:style w:type="paragraph" w:customStyle="1" w:styleId="Border">
    <w:name w:val="Border"/>
    <w:basedOn w:val="Normal"/>
    <w:qFormat/>
    <w:rsid w:val="00B65A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A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A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A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A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A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A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A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A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AB4"/>
    <w:rPr>
      <w:u w:val="single"/>
    </w:rPr>
  </w:style>
  <w:style w:type="character" w:customStyle="1" w:styleId="BoldandItalics">
    <w:name w:val="Bold and Italics"/>
    <w:qFormat/>
    <w:rsid w:val="00B65AB4"/>
    <w:rPr>
      <w:b/>
      <w:i/>
      <w:u w:val="none"/>
    </w:rPr>
  </w:style>
  <w:style w:type="paragraph" w:styleId="BalloonText">
    <w:name w:val="Balloon Text"/>
    <w:basedOn w:val="Normal"/>
    <w:link w:val="BalloonTextChar"/>
    <w:rsid w:val="00B65A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A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A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A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A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A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AB4"/>
    <w:pPr>
      <w:spacing w:before="0" w:after="0"/>
    </w:pPr>
  </w:style>
  <w:style w:type="paragraph" w:customStyle="1" w:styleId="BodyTextBold">
    <w:name w:val="Body Text Bold"/>
    <w:basedOn w:val="BodyText"/>
    <w:qFormat/>
    <w:rsid w:val="00B65AB4"/>
    <w:rPr>
      <w:b/>
    </w:rPr>
  </w:style>
  <w:style w:type="character" w:styleId="Hyperlink">
    <w:name w:val="Hyperlink"/>
    <w:basedOn w:val="DefaultParagraphFont"/>
    <w:uiPriority w:val="99"/>
    <w:unhideWhenUsed/>
    <w:rsid w:val="00DE65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1712</Words>
  <Characters>10210</Characters>
  <Application>Microsoft Office Word</Application>
  <DocSecurity>0</DocSecurity>
  <Lines>392</Lines>
  <Paragraphs>264</Paragraphs>
  <ScaleCrop>false</ScaleCrop>
  <Company>Author-it Software Corporation Ltd.</Company>
  <LinksUpToDate>false</LinksUpToDate>
  <CharactersWithSpaces>11658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CPCCLDG3001 Licence to perform dogging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