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F72" w:rsidP="00D54F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CPCCJN3100 Process materials to produce components using static machines</w:t>
      </w:r>
      <w:r>
        <w:fldChar w:fldCharType="end"/>
      </w:r>
    </w:p>
    <w:p w:rsidR="00D54F72" w:rsidP="00D54F72">
      <w:pPr>
        <w:pStyle w:val="Version"/>
        <w:sectPr w:rsidSect="00F17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7B85" w:rsidP="00F17B85">
      <w:pPr>
        <w:pStyle w:val="SuperHeading"/>
      </w:pPr>
      <w:r w:rsidRPr="00F17B85">
        <w:t>CPCCJN3100 Process materials to produce components using static machines</w:t>
      </w:r>
    </w:p>
    <w:p w:rsidR="00000000" w:rsidRPr="00F17B85" w:rsidP="00F17B85">
      <w:pPr>
        <w:pStyle w:val="Heading1"/>
      </w:pPr>
      <w:bookmarkStart w:id="1" w:name="O_1294273"/>
      <w:bookmarkEnd w:id="1"/>
      <w:r w:rsidRPr="00F17B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Updated reference to general construction induction training program.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85" w:rsidP="00F17B85">
            <w:pPr>
              <w:pStyle w:val="BodyText"/>
            </w:pPr>
            <w:r w:rsidRPr="00F17B85">
              <w:t>This version first released with CPC Construction, Plumbing and Services Training Package Release 5.0.</w:t>
            </w:r>
          </w:p>
          <w:p w:rsidR="00000000" w:rsidRPr="00F17B85" w:rsidP="00F17B85">
            <w:pPr>
              <w:pStyle w:val="BodyText"/>
            </w:pPr>
            <w:r w:rsidRPr="00F17B85">
              <w:t>Supersedes and equivalent to CPCCJN3001 Process materials to produce components using static machines.  Updated to meet the Standards for Training Packag</w:t>
            </w:r>
            <w:r w:rsidRPr="00F17B85">
              <w:t>es 2012.</w:t>
            </w:r>
          </w:p>
        </w:tc>
      </w:tr>
    </w:tbl>
    <w:p w:rsidR="00000000" w:rsidRPr="00F17B85" w:rsidP="00F17B85">
      <w:pPr>
        <w:pStyle w:val="BodyText"/>
      </w:pPr>
    </w:p>
    <w:p w:rsidR="00000000" w:rsidRPr="00F17B85" w:rsidP="00F17B85">
      <w:pPr>
        <w:pStyle w:val="AllowPageBreak"/>
      </w:pPr>
    </w:p>
    <w:p w:rsidR="00000000" w:rsidRPr="00F17B85" w:rsidP="00F17B85">
      <w:pPr>
        <w:pStyle w:val="Heading1"/>
      </w:pPr>
      <w:bookmarkStart w:id="2" w:name="O_1294272"/>
      <w:bookmarkEnd w:id="2"/>
      <w:r w:rsidRPr="00F17B85">
        <w:t>Application</w:t>
      </w:r>
    </w:p>
    <w:p w:rsidR="00000000" w:rsidRPr="00F17B85" w:rsidP="00D54F72">
      <w:pPr>
        <w:pStyle w:val="BodyText"/>
      </w:pPr>
      <w:r w:rsidRPr="00F17B85">
        <w:t>This unit of competency specifies the skills and knowledge required to use static machines for manufacturing processes of components, meeting all relevant requirements of Australian Standards, work health and safet</w:t>
      </w:r>
      <w:r w:rsidRPr="00F17B85">
        <w:t xml:space="preserve">y (WHS), and Commonwealth and state or territory legislation. </w:t>
      </w:r>
    </w:p>
    <w:p w:rsidR="00000000" w:rsidRPr="00F17B85" w:rsidP="00D54F72">
      <w:pPr>
        <w:pStyle w:val="BodyText"/>
      </w:pPr>
      <w:r w:rsidRPr="00F17B85">
        <w:t>Completion of the general construction induction training program specified by the model Code of Practice for Construction Work is required for any person who is to carry out construction work.</w:t>
      </w:r>
      <w:r w:rsidRPr="00F17B85">
        <w:t xml:space="preserve"> Achievement of </w:t>
      </w:r>
      <w:r w:rsidRPr="00F17B85">
        <w:rPr>
          <w:rStyle w:val="Emphasis"/>
        </w:rPr>
        <w:t xml:space="preserve">CPCWHS1001 </w:t>
      </w:r>
      <w:r w:rsidRPr="00F17B85">
        <w:t xml:space="preserve">Prepare to </w:t>
      </w:r>
      <w:r w:rsidRPr="00F17B85">
        <w:rPr>
          <w:rStyle w:val="Emphasis"/>
        </w:rPr>
        <w:t>work safely in the construction industry</w:t>
      </w:r>
      <w:r w:rsidRPr="00F17B85">
        <w:t xml:space="preserve"> meets this requirement.</w:t>
      </w:r>
    </w:p>
    <w:p w:rsidR="00000000" w:rsidRPr="00F17B85" w:rsidP="00D54F72">
      <w:pPr>
        <w:pStyle w:val="BodyText"/>
      </w:pPr>
      <w:r w:rsidRPr="00F17B85">
        <w:t>No licensing, legislative or certification requirements apply to this unit at the time of publication.</w:t>
      </w:r>
    </w:p>
    <w:p w:rsidR="00000000" w:rsidRPr="00F17B85" w:rsidP="00F17B85">
      <w:pPr>
        <w:pStyle w:val="Heading1"/>
      </w:pPr>
      <w:bookmarkStart w:id="3" w:name="O_1294271"/>
      <w:bookmarkEnd w:id="3"/>
      <w:r w:rsidRPr="00F17B85">
        <w:t>Pre-requisite Unit</w:t>
      </w:r>
    </w:p>
    <w:p w:rsidR="00000000" w:rsidRPr="00F17B85" w:rsidP="00D54F72">
      <w:pPr>
        <w:pStyle w:val="BodyText"/>
      </w:pPr>
      <w:r w:rsidRPr="00F17B85">
        <w:t xml:space="preserve">CPCCWHS2001 </w:t>
      </w:r>
      <w:r w:rsidRPr="00F17B85">
        <w:t>Apply WHS requirements, policies and procedures in the construction industry</w:t>
      </w:r>
    </w:p>
    <w:p w:rsidR="00000000" w:rsidRPr="00F17B85" w:rsidP="00F17B85">
      <w:pPr>
        <w:pStyle w:val="Heading1"/>
      </w:pPr>
      <w:bookmarkStart w:id="4" w:name="O_1294269"/>
      <w:bookmarkEnd w:id="4"/>
      <w:r w:rsidRPr="00F17B85">
        <w:t>Unit Sector</w:t>
      </w:r>
    </w:p>
    <w:p w:rsidR="00000000" w:rsidRPr="00F17B85" w:rsidP="00D54F72">
      <w:pPr>
        <w:pStyle w:val="BodyText"/>
      </w:pPr>
      <w:r w:rsidRPr="00F17B85">
        <w:t>Carpentry and Joinery</w:t>
      </w:r>
    </w:p>
    <w:p w:rsidR="00000000" w:rsidRPr="00F17B85" w:rsidP="00F17B85">
      <w:pPr>
        <w:pStyle w:val="Heading1"/>
      </w:pPr>
      <w:bookmarkStart w:id="5" w:name="O_1294268"/>
      <w:bookmarkEnd w:id="5"/>
      <w:r w:rsidRPr="00F17B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Performance criteria describe what needs to be done to demonstrate achievement of the element.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Read and interpret work instructions and plan sequence of work.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Select tools and equipment, che</w:t>
            </w:r>
            <w:r w:rsidRPr="00F17B85">
              <w:t>ck for serviceability and rectify or report any faults.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Select and use personal protective equipment (PPE) for each part of the task and as required for using each machine.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Inspect workplace, assess hazards and apply risk controls, including required signage and barricades.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Select materials required for task, calculate quantities, handle safely and prepare and position ready for use.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Select static machines and determine operation and safety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Select types and functions of static machines for use in task.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Determine methods of operation of machines from manufacturers’ operating manuals and safe operating procedures</w:t>
            </w:r>
            <w:r w:rsidRPr="00F17B85">
              <w:t>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Locate cut-off switches and implement WHS requirements for guard attachment and cut-off switches in accordance with Australian Standards.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 xml:space="preserve">Implement WHS requirements for personal protective equipment (PPE) associated with using machines. 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Prepare machines for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Determine and follow guarding and safety requirements for preparing and using each static machine.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Set up machines for required operating process and setting with fences and guides locked in position in accordance with Australian Standards.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Operate machines.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Follow machine start-up procedures to manufacturers’</w:t>
            </w:r>
            <w:r w:rsidRPr="00F17B85">
              <w:t xml:space="preserve"> recommendations and safe operating procedures.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Feed material to machines following manufacturers’ recommendations, safe handling procedures and safe operating procedures, including use of push blocks and sticks.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Set up and hold material in place, ensuring correct hand position, for moving table operations following manufacturers’ recommendations.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Operate machines safely in accordance with designed capacity and purposes.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Follow machine workplace shut-</w:t>
            </w:r>
            <w:r w:rsidRPr="00F17B85">
              <w:t>down procedures following manufacturers’ recommendations.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Maintain machine and attachments.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Maintain machines by regular servicing to manufacturers’ recommendations.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Report faults to supervisor.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Assist with fitting and securing cutters, blades and attachments, and recalibration following manufacturers’ recommendations.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Clean up, meeting all legislative and workplace requirements for safety, waste disposal and materials handli</w:t>
            </w:r>
            <w:r w:rsidRPr="00F17B85">
              <w:t>ng.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85" w:rsidP="00F17B85">
            <w:pPr>
              <w:pStyle w:val="BodyText"/>
            </w:pPr>
            <w:r w:rsidRPr="00F17B85">
              <w:t>Clean, check and store cutters, blades and attachments following manufacturers’ recommendations.</w:t>
            </w:r>
          </w:p>
        </w:tc>
      </w:tr>
    </w:tbl>
    <w:p w:rsidR="00000000" w:rsidRPr="00F17B85" w:rsidP="00F17B85">
      <w:pPr>
        <w:pStyle w:val="BodyText"/>
      </w:pPr>
    </w:p>
    <w:p w:rsidR="00000000" w:rsidRPr="00F17B85" w:rsidP="00F17B85">
      <w:pPr>
        <w:pStyle w:val="AllowPageBreak"/>
      </w:pPr>
    </w:p>
    <w:p w:rsidR="00000000" w:rsidRPr="00F17B85" w:rsidP="00F17B85">
      <w:pPr>
        <w:pStyle w:val="Heading1"/>
      </w:pPr>
      <w:bookmarkStart w:id="6" w:name="O_1294267"/>
      <w:bookmarkEnd w:id="6"/>
      <w:r w:rsidRPr="00F17B85">
        <w:t>Foundation Skills</w:t>
      </w:r>
    </w:p>
    <w:p w:rsidR="00000000" w:rsidRPr="00F17B85" w:rsidP="00D54F72">
      <w:pPr>
        <w:pStyle w:val="BodyText"/>
      </w:pPr>
      <w:r w:rsidRPr="00F17B85">
        <w:t xml:space="preserve">Foundation skills essential to performance are explicit in the performance criteria of this unit of competency. </w:t>
      </w:r>
    </w:p>
    <w:p w:rsidR="00000000" w:rsidRPr="00F17B85" w:rsidP="00F17B85">
      <w:pPr>
        <w:pStyle w:val="Heading1"/>
      </w:pPr>
      <w:bookmarkStart w:id="7" w:name="O_1294266"/>
      <w:bookmarkEnd w:id="7"/>
      <w:r w:rsidRPr="00F17B85">
        <w:t>Unit Mapping Information</w:t>
      </w:r>
    </w:p>
    <w:p w:rsidR="00000000" w:rsidRPr="00F17B85" w:rsidP="00D54F72">
      <w:pPr>
        <w:pStyle w:val="BodyText"/>
      </w:pPr>
      <w:r w:rsidRPr="00F17B85">
        <w:t>Supersedes and equivalent to CPCCJN3001 Process materials to produce components using static machin</w:t>
      </w:r>
      <w:r w:rsidRPr="00F17B85">
        <w:t>es.</w:t>
      </w:r>
    </w:p>
    <w:p w:rsidR="00000000" w:rsidRPr="00F17B85" w:rsidP="00F17B85">
      <w:pPr>
        <w:pStyle w:val="Heading1"/>
      </w:pPr>
      <w:bookmarkStart w:id="8" w:name="O_1294274"/>
      <w:bookmarkEnd w:id="8"/>
      <w:r w:rsidRPr="00F17B85">
        <w:t>Links</w:t>
      </w:r>
    </w:p>
    <w:p w:rsidR="00000000" w:rsidRPr="00F17B85" w:rsidP="00D54F72">
      <w:pPr>
        <w:pStyle w:val="BodyText"/>
      </w:pPr>
      <w:r w:rsidRPr="00F17B8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71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17B85" w:rsidP="00D54F72">
      <w:pPr>
        <w:pStyle w:val="BodyText"/>
        <w:sectPr w:rsidSect="00F17B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7B85" w:rsidP="00F17B85">
      <w:pPr>
        <w:pStyle w:val="SuperHeading"/>
      </w:pPr>
      <w:r w:rsidRPr="00F17B85">
        <w:t xml:space="preserve">Assessment </w:t>
      </w:r>
      <w:r w:rsidRPr="00F17B85">
        <w:t>Requirements for CPCCJN3100 Process materials to produce components using static machines</w:t>
      </w:r>
    </w:p>
    <w:p w:rsidR="00000000" w:rsidRPr="00F17B85" w:rsidP="00F17B85">
      <w:pPr>
        <w:pStyle w:val="Heading1"/>
      </w:pPr>
      <w:bookmarkStart w:id="9" w:name="O_1294263"/>
      <w:bookmarkEnd w:id="9"/>
      <w:r w:rsidRPr="00F17B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Updated reference to general construction induction training program.</w:t>
            </w:r>
          </w:p>
        </w:tc>
      </w:tr>
      <w:tr w:rsidTr="00F17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85">
            <w:pPr>
              <w:pStyle w:val="BodyText"/>
              <w:rPr>
                <w:lang w:val="en-NZ"/>
              </w:rPr>
            </w:pPr>
            <w:r w:rsidRPr="00F17B8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85" w:rsidP="00F17B85">
            <w:pPr>
              <w:pStyle w:val="BodyText"/>
            </w:pPr>
            <w:r w:rsidRPr="00F17B85">
              <w:t>This version first released with CPC</w:t>
            </w:r>
            <w:r w:rsidRPr="00F17B85">
              <w:t xml:space="preserve"> Construction, Plumbing and Services Training Package Release 5.0.</w:t>
            </w:r>
          </w:p>
          <w:p w:rsidR="00000000" w:rsidRPr="00F17B85" w:rsidP="00F17B85">
            <w:pPr>
              <w:pStyle w:val="BodyText"/>
            </w:pPr>
            <w:r w:rsidRPr="00F17B85">
              <w:t>Supersedes and equivalent to CPCCJN3001 Process materials to produce components using static machines.  Updated to meet the Standards for Training Packages 2012.</w:t>
            </w:r>
          </w:p>
        </w:tc>
      </w:tr>
    </w:tbl>
    <w:p w:rsidR="00000000" w:rsidRPr="00F17B85" w:rsidP="00F17B85">
      <w:pPr>
        <w:pStyle w:val="BodyText"/>
      </w:pPr>
    </w:p>
    <w:p w:rsidR="00000000" w:rsidRPr="00F17B85" w:rsidP="00F17B85">
      <w:pPr>
        <w:pStyle w:val="AllowPageBreak"/>
      </w:pPr>
    </w:p>
    <w:p w:rsidR="00000000" w:rsidRPr="00F17B85" w:rsidP="00F17B85">
      <w:pPr>
        <w:pStyle w:val="Heading1"/>
      </w:pPr>
      <w:bookmarkStart w:id="10" w:name="O_1294262"/>
      <w:bookmarkEnd w:id="10"/>
      <w:r w:rsidRPr="00F17B85">
        <w:t>Perfor</w:t>
      </w:r>
      <w:r w:rsidRPr="00F17B85">
        <w:t>mance Evidence</w:t>
      </w:r>
    </w:p>
    <w:p w:rsidR="00000000" w:rsidRPr="00F17B85" w:rsidP="00D54F72">
      <w:pPr>
        <w:pStyle w:val="BodyText"/>
      </w:pPr>
      <w:r w:rsidRPr="00F17B85">
        <w:t>To demonstrate competency, a candidate must meet the performance criteria of this unit by using at least five of the following static machines in the production of a minimum of three different components:</w:t>
      </w:r>
    </w:p>
    <w:p w:rsidR="00000000" w:rsidRPr="00F17B85" w:rsidP="00F17B85">
      <w:pPr>
        <w:pStyle w:val="ListBullet"/>
      </w:pPr>
      <w:r w:rsidRPr="00F17B85">
        <w:t>band saws</w:t>
      </w:r>
    </w:p>
    <w:p w:rsidR="00000000" w:rsidRPr="00F17B85" w:rsidP="00F17B85">
      <w:pPr>
        <w:pStyle w:val="ListBullet"/>
      </w:pPr>
      <w:r w:rsidRPr="00F17B85">
        <w:t>buzzers (jointer/surface planer)</w:t>
      </w:r>
    </w:p>
    <w:p w:rsidR="00000000" w:rsidRPr="00F17B85" w:rsidP="00F17B85">
      <w:pPr>
        <w:pStyle w:val="ListBullet"/>
      </w:pPr>
      <w:r w:rsidRPr="00F17B85">
        <w:t>spindle moulders</w:t>
      </w:r>
    </w:p>
    <w:p w:rsidR="00000000" w:rsidRPr="00F17B85" w:rsidP="00F17B85">
      <w:pPr>
        <w:pStyle w:val="ListBullet"/>
      </w:pPr>
      <w:r w:rsidRPr="00F17B85">
        <w:t>tenon machine</w:t>
      </w:r>
    </w:p>
    <w:p w:rsidR="00000000" w:rsidRPr="00F17B85" w:rsidP="00F17B85">
      <w:pPr>
        <w:pStyle w:val="ListBullet"/>
      </w:pPr>
      <w:r w:rsidRPr="00F17B85">
        <w:t>docking saws</w:t>
      </w:r>
    </w:p>
    <w:p w:rsidR="00000000" w:rsidRPr="00F17B85" w:rsidP="00F17B85">
      <w:pPr>
        <w:pStyle w:val="ListBullet"/>
      </w:pPr>
      <w:r w:rsidRPr="00F17B85">
        <w:t>grinders</w:t>
      </w:r>
    </w:p>
    <w:p w:rsidR="00000000" w:rsidRPr="00F17B85" w:rsidP="00F17B85">
      <w:pPr>
        <w:pStyle w:val="ListBullet"/>
      </w:pPr>
      <w:r w:rsidRPr="00F17B85">
        <w:t>mortisers</w:t>
      </w:r>
    </w:p>
    <w:p w:rsidR="00000000" w:rsidRPr="00F17B85" w:rsidP="00F17B85">
      <w:pPr>
        <w:pStyle w:val="ListBullet"/>
      </w:pPr>
      <w:r w:rsidRPr="00F17B85">
        <w:t>multi-drill machine</w:t>
      </w:r>
    </w:p>
    <w:p w:rsidR="00000000" w:rsidRPr="00F17B85" w:rsidP="00F17B85">
      <w:pPr>
        <w:pStyle w:val="ListBullet"/>
      </w:pPr>
      <w:r w:rsidRPr="00F17B85">
        <w:t>rip saws</w:t>
      </w:r>
    </w:p>
    <w:p w:rsidR="00000000" w:rsidRPr="00F17B85" w:rsidP="00F17B85">
      <w:pPr>
        <w:pStyle w:val="ListBullet"/>
      </w:pPr>
      <w:r w:rsidRPr="00F17B85">
        <w:t>table sanders</w:t>
      </w:r>
    </w:p>
    <w:p w:rsidR="00000000" w:rsidRPr="00F17B85" w:rsidP="00F17B85">
      <w:pPr>
        <w:pStyle w:val="ListBullet"/>
      </w:pPr>
      <w:r w:rsidRPr="00F17B85">
        <w:t>thicknessers</w:t>
      </w:r>
    </w:p>
    <w:p w:rsidR="00000000" w:rsidRPr="00F17B85" w:rsidP="00F17B85">
      <w:pPr>
        <w:pStyle w:val="ListBullet"/>
      </w:pPr>
      <w:r w:rsidRPr="00F17B85">
        <w:t>panel saws</w:t>
      </w:r>
    </w:p>
    <w:p w:rsidR="00000000" w:rsidRPr="00F17B85" w:rsidP="00F17B85">
      <w:pPr>
        <w:pStyle w:val="ListBullet"/>
      </w:pPr>
      <w:r w:rsidRPr="00F17B85">
        <w:t>vertical and horizontal drills.</w:t>
      </w:r>
    </w:p>
    <w:p w:rsidR="00000000" w:rsidRPr="00F17B85" w:rsidP="00F17B85">
      <w:pPr>
        <w:pStyle w:val="AllowPageBreak"/>
      </w:pPr>
    </w:p>
    <w:p w:rsidR="00000000" w:rsidRPr="00F17B85" w:rsidP="00F17B85">
      <w:pPr>
        <w:pStyle w:val="Heading1"/>
      </w:pPr>
      <w:bookmarkStart w:id="11" w:name="O_1294260"/>
      <w:bookmarkEnd w:id="11"/>
      <w:r w:rsidRPr="00F17B85">
        <w:t>Knowledge Evidence</w:t>
      </w:r>
    </w:p>
    <w:p w:rsidR="00000000" w:rsidRPr="00F17B85" w:rsidP="00D54F72">
      <w:pPr>
        <w:pStyle w:val="BodyText"/>
      </w:pPr>
      <w:r w:rsidRPr="00F17B85">
        <w:t>To be competent in this</w:t>
      </w:r>
      <w:r w:rsidRPr="00F17B85">
        <w:t xml:space="preserve"> unit, a candidate must demonstrate knowledge of:</w:t>
      </w:r>
    </w:p>
    <w:p w:rsidR="00000000" w:rsidRPr="00F17B85" w:rsidP="00F17B85">
      <w:pPr>
        <w:pStyle w:val="ListBullet"/>
      </w:pPr>
      <w:r w:rsidRPr="00F17B85">
        <w:t>compliance requirements of the National Construction Code and Australian Standards relevant to processing materials to produce components</w:t>
      </w:r>
    </w:p>
    <w:p w:rsidR="00000000" w:rsidRPr="00F17B85" w:rsidP="00F17B85">
      <w:pPr>
        <w:pStyle w:val="ListBullet"/>
      </w:pPr>
      <w:r w:rsidRPr="00F17B85">
        <w:t>workplace quality policies and standards relevant to processing mat</w:t>
      </w:r>
      <w:r w:rsidRPr="00F17B85">
        <w:t>erials to produce components</w:t>
      </w:r>
    </w:p>
    <w:p w:rsidR="00000000" w:rsidRPr="00F17B85" w:rsidP="00F17B85">
      <w:pPr>
        <w:pStyle w:val="ListBullet"/>
      </w:pPr>
      <w:r w:rsidRPr="00F17B85">
        <w:t>safety requirements for processing materials to produce components</w:t>
      </w:r>
    </w:p>
    <w:p w:rsidR="00000000" w:rsidRPr="00F17B85" w:rsidP="00F17B85">
      <w:pPr>
        <w:pStyle w:val="ListBullet"/>
      </w:pPr>
      <w:r w:rsidRPr="00F17B85">
        <w:t>types and uses of static machines:</w:t>
      </w:r>
    </w:p>
    <w:p w:rsidR="00000000" w:rsidRPr="00F17B85" w:rsidP="00F17B85">
      <w:pPr>
        <w:pStyle w:val="ListBullet2"/>
      </w:pPr>
      <w:r w:rsidRPr="00F17B85">
        <w:t>band saws</w:t>
      </w:r>
    </w:p>
    <w:p w:rsidR="00000000" w:rsidRPr="00F17B85" w:rsidP="00F17B85">
      <w:pPr>
        <w:pStyle w:val="ListBullet2"/>
      </w:pPr>
      <w:r w:rsidRPr="00F17B85">
        <w:t>buzzers (jointer/surface planer)</w:t>
      </w:r>
    </w:p>
    <w:p w:rsidR="00000000" w:rsidRPr="00F17B85" w:rsidP="00F17B85">
      <w:pPr>
        <w:pStyle w:val="ListBullet2"/>
      </w:pPr>
      <w:r w:rsidRPr="00F17B85">
        <w:t>spindle moulders</w:t>
      </w:r>
    </w:p>
    <w:p w:rsidR="00000000" w:rsidRPr="00F17B85" w:rsidP="00F17B85">
      <w:pPr>
        <w:pStyle w:val="ListBullet2"/>
      </w:pPr>
      <w:r w:rsidRPr="00F17B85">
        <w:t>tenon machine</w:t>
      </w:r>
    </w:p>
    <w:p w:rsidR="00000000" w:rsidRPr="00F17B85" w:rsidP="00F17B85">
      <w:pPr>
        <w:pStyle w:val="ListBullet2"/>
      </w:pPr>
      <w:r w:rsidRPr="00F17B85">
        <w:t>docking saws</w:t>
      </w:r>
    </w:p>
    <w:p w:rsidR="00000000" w:rsidRPr="00F17B85" w:rsidP="00F17B85">
      <w:pPr>
        <w:pStyle w:val="ListBullet2"/>
      </w:pPr>
      <w:r w:rsidRPr="00F17B85">
        <w:t>grinders</w:t>
      </w:r>
    </w:p>
    <w:p w:rsidR="00000000" w:rsidRPr="00F17B85" w:rsidP="00F17B85">
      <w:pPr>
        <w:pStyle w:val="ListBullet2"/>
      </w:pPr>
      <w:r w:rsidRPr="00F17B85">
        <w:t>mortisers</w:t>
      </w:r>
    </w:p>
    <w:p w:rsidR="00000000" w:rsidRPr="00F17B85" w:rsidP="00F17B85">
      <w:pPr>
        <w:pStyle w:val="ListBullet2"/>
      </w:pPr>
      <w:r w:rsidRPr="00F17B85">
        <w:t>multi-drill machine</w:t>
      </w:r>
    </w:p>
    <w:p w:rsidR="00000000" w:rsidRPr="00F17B85" w:rsidP="00F17B85">
      <w:pPr>
        <w:pStyle w:val="ListBullet2"/>
      </w:pPr>
      <w:r w:rsidRPr="00F17B85">
        <w:t>rip saws</w:t>
      </w:r>
    </w:p>
    <w:p w:rsidR="00000000" w:rsidRPr="00F17B85" w:rsidP="00F17B85">
      <w:pPr>
        <w:pStyle w:val="ListBullet2"/>
      </w:pPr>
      <w:r w:rsidRPr="00F17B85">
        <w:t>table sanders</w:t>
      </w:r>
    </w:p>
    <w:p w:rsidR="00000000" w:rsidRPr="00F17B85" w:rsidP="00F17B85">
      <w:pPr>
        <w:pStyle w:val="ListBullet2"/>
      </w:pPr>
      <w:r w:rsidRPr="00F17B85">
        <w:t>thicknessers</w:t>
      </w:r>
    </w:p>
    <w:p w:rsidR="00000000" w:rsidRPr="00F17B85" w:rsidP="00F17B85">
      <w:pPr>
        <w:pStyle w:val="ListBullet2"/>
      </w:pPr>
      <w:r w:rsidRPr="00F17B85">
        <w:t>panel saws</w:t>
      </w:r>
    </w:p>
    <w:p w:rsidR="00000000" w:rsidRPr="00F17B85" w:rsidP="00F17B85">
      <w:pPr>
        <w:pStyle w:val="ListBullet2"/>
      </w:pPr>
      <w:r w:rsidRPr="00F17B85">
        <w:t>vertical and horizontal drills</w:t>
      </w:r>
    </w:p>
    <w:p w:rsidR="00000000" w:rsidRPr="00F17B85" w:rsidP="00F17B85">
      <w:pPr>
        <w:pStyle w:val="ListBullet"/>
      </w:pPr>
      <w:r w:rsidRPr="00F17B85">
        <w:t>types of tools and equipment required when using static machines</w:t>
      </w:r>
    </w:p>
    <w:p w:rsidR="00000000" w:rsidRPr="00F17B85" w:rsidP="00F17B85">
      <w:pPr>
        <w:pStyle w:val="ListBullet"/>
      </w:pPr>
      <w:r w:rsidRPr="00F17B85">
        <w:t>common materials processed using static machines to produce components</w:t>
      </w:r>
    </w:p>
    <w:p w:rsidR="00000000" w:rsidRPr="00F17B85" w:rsidP="00F17B85">
      <w:pPr>
        <w:pStyle w:val="ListBullet"/>
      </w:pPr>
      <w:r w:rsidRPr="00F17B85">
        <w:t>basic maintenance of static machines.</w:t>
      </w:r>
    </w:p>
    <w:p w:rsidR="00000000" w:rsidRPr="00F17B85" w:rsidP="00F17B85">
      <w:pPr>
        <w:pStyle w:val="AllowPageBreak"/>
      </w:pPr>
    </w:p>
    <w:p w:rsidR="00000000" w:rsidRPr="00F17B85" w:rsidP="00F17B85">
      <w:pPr>
        <w:pStyle w:val="Heading1"/>
      </w:pPr>
      <w:bookmarkStart w:id="12" w:name="O_1294258"/>
      <w:bookmarkEnd w:id="12"/>
      <w:r w:rsidRPr="00F17B85">
        <w:t>Assessment Conditions</w:t>
      </w:r>
    </w:p>
    <w:p w:rsidR="00000000" w:rsidRPr="00F17B85" w:rsidP="00D54F72">
      <w:pPr>
        <w:pStyle w:val="BodyText"/>
      </w:pPr>
      <w:r w:rsidRPr="00F17B85">
        <w:t xml:space="preserve">Assessors must meet the requirements for assessors contained in the Standards for Registered Training Organisations. </w:t>
      </w:r>
    </w:p>
    <w:p w:rsidR="00000000" w:rsidRPr="00F17B85" w:rsidP="00D54F72">
      <w:pPr>
        <w:pStyle w:val="BodyText"/>
      </w:pPr>
      <w:r w:rsidRPr="00F17B85">
        <w:t>This unit must be assessed in the workplace or a close simu</w:t>
      </w:r>
      <w:r w:rsidRPr="00F17B85">
        <w:t>lation reflecting workplace conditions and standards, materials, equipment, activities, responsibilities, procedures, safety requirements and environmental considerations.</w:t>
      </w:r>
    </w:p>
    <w:p w:rsidR="00000000" w:rsidRPr="00F17B85" w:rsidP="00F17B85">
      <w:pPr>
        <w:pStyle w:val="Heading1"/>
      </w:pPr>
      <w:bookmarkStart w:id="13" w:name="O_1294275"/>
      <w:bookmarkEnd w:id="13"/>
      <w:r w:rsidRPr="00F17B85">
        <w:t>Links</w:t>
      </w:r>
    </w:p>
    <w:p w:rsidR="00000000" w:rsidRPr="00F17B85" w:rsidP="00D54F72">
      <w:pPr>
        <w:pStyle w:val="BodyText"/>
      </w:pPr>
      <w:r w:rsidRPr="00F17B85">
        <w:t>Companion volumes to this training package are available at</w:t>
      </w:r>
      <w:r w:rsidRPr="00F17B85">
        <w:t xml:space="preserve">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71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17B85" w:rsidP="00F17B85"/>
    <w:sectPr w:rsidSect="00F17B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85" w:rsidRPr="00D54F72" w:rsidP="00D54F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F72" w:rsidP="00F17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F72" w:rsidP="00F17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54F72" w:rsidP="00F17B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85" w:rsidP="00F17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4F72">
      <w:t>Approved</w:t>
    </w:r>
    <w:r w:rsidR="00D54F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4F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4F72">
      <w:rPr>
        <w:noProof/>
      </w:rPr>
      <w:t>4</w:t>
    </w:r>
    <w:r>
      <w:rPr>
        <w:noProof/>
      </w:rPr>
      <w:fldChar w:fldCharType="end"/>
    </w:r>
  </w:p>
  <w:p w:rsidR="00F17B85" w:rsidP="00F17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4F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4F72">
      <w:t>BuildSkills Australia</w:t>
    </w:r>
    <w:r w:rsidR="00D54F72">
      <w:fldChar w:fldCharType="end"/>
    </w:r>
  </w:p>
  <w:p w:rsidR="00F17B85" w:rsidP="00F17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F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B85" w:rsidRPr="00D54F72" w:rsidP="00D54F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F72" w:rsidRPr="002D2AF8" w:rsidP="00F17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CPCCJN3100 Process materials to produce components using static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4F72" w:rsidP="00F17B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85" w:rsidRPr="002D2AF8" w:rsidP="00F17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4F72">
      <w:t>CPCCJN3100 Process materials to produce components using static machines</w:t>
    </w:r>
    <w:r w:rsidR="00D54F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4F72">
      <w:rPr>
        <w:noProof/>
      </w:rPr>
      <w:t>2 March 2025</w:t>
    </w:r>
    <w:r>
      <w:fldChar w:fldCharType="end"/>
    </w:r>
  </w:p>
  <w:p w:rsidR="00F17B85" w:rsidP="00F17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E20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04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B09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B85"/>
  </w:style>
  <w:style w:type="character" w:customStyle="1" w:styleId="Heading1Char">
    <w:name w:val="Heading 1 Char"/>
    <w:basedOn w:val="DefaultParagraphFont"/>
    <w:link w:val="Heading1"/>
    <w:rsid w:val="00F17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B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B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7B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7B85"/>
    <w:rPr>
      <w:i/>
    </w:rPr>
  </w:style>
  <w:style w:type="paragraph" w:customStyle="1" w:styleId="SuperHeading">
    <w:name w:val="SuperHeading"/>
    <w:basedOn w:val="Normal"/>
    <w:rsid w:val="00F17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B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B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7B85"/>
    <w:rPr>
      <w:b/>
      <w:spacing w:val="0"/>
    </w:rPr>
  </w:style>
  <w:style w:type="paragraph" w:customStyle="1" w:styleId="SuperTitle">
    <w:name w:val="SuperTitle"/>
    <w:basedOn w:val="Title"/>
    <w:rsid w:val="00F17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B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B85"/>
  </w:style>
  <w:style w:type="paragraph" w:styleId="TableofFigures">
    <w:name w:val="table of figures"/>
    <w:basedOn w:val="Normal"/>
    <w:next w:val="Normal"/>
    <w:semiHidden/>
    <w:rsid w:val="00F17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B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7B85"/>
    <w:rPr>
      <w:rFonts w:ascii="Wingdings" w:hAnsi="Wingdings"/>
    </w:rPr>
  </w:style>
  <w:style w:type="paragraph" w:customStyle="1" w:styleId="TableHeading">
    <w:name w:val="Table Heading"/>
    <w:basedOn w:val="HeadingBase"/>
    <w:rsid w:val="00F17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B85"/>
    <w:rPr>
      <w:color w:val="0033CC"/>
      <w:u w:val="none"/>
    </w:rPr>
  </w:style>
  <w:style w:type="paragraph" w:customStyle="1" w:styleId="BodyTextRight">
    <w:name w:val="Body Text Right"/>
    <w:basedOn w:val="BodyText"/>
    <w:rsid w:val="00F17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B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B85"/>
    <w:rPr>
      <w:sz w:val="32"/>
    </w:rPr>
  </w:style>
  <w:style w:type="paragraph" w:customStyle="1" w:styleId="HeadingProcedure">
    <w:name w:val="Heading Procedure"/>
    <w:basedOn w:val="HeadingBase"/>
    <w:next w:val="Normal"/>
    <w:rsid w:val="00F17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B85"/>
    <w:pPr>
      <w:spacing w:before="60" w:after="60"/>
    </w:pPr>
  </w:style>
  <w:style w:type="paragraph" w:styleId="ListContinue">
    <w:name w:val="List Continue"/>
    <w:basedOn w:val="List"/>
    <w:rsid w:val="00F17B85"/>
    <w:pPr>
      <w:ind w:firstLine="0"/>
    </w:pPr>
  </w:style>
  <w:style w:type="paragraph" w:customStyle="1" w:styleId="ListNote">
    <w:name w:val="List Note"/>
    <w:basedOn w:val="List"/>
    <w:rsid w:val="00F17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B85"/>
    <w:rPr>
      <w:rFonts w:ascii="Courier New" w:hAnsi="Courier New"/>
    </w:rPr>
  </w:style>
  <w:style w:type="paragraph" w:customStyle="1" w:styleId="NoteBullet">
    <w:name w:val="Note Bullet"/>
    <w:basedOn w:val="Note"/>
    <w:rsid w:val="00F17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B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B85"/>
    <w:rPr>
      <w:b/>
      <w:smallCaps/>
    </w:rPr>
  </w:style>
  <w:style w:type="paragraph" w:customStyle="1" w:styleId="TableListNumber">
    <w:name w:val="Table List Number"/>
    <w:basedOn w:val="ListNumber"/>
    <w:rsid w:val="00F17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B85"/>
    <w:pPr>
      <w:numPr>
        <w:numId w:val="9"/>
      </w:numPr>
    </w:pPr>
  </w:style>
  <w:style w:type="paragraph" w:customStyle="1" w:styleId="ListAlpha2">
    <w:name w:val="List Alpha 2"/>
    <w:basedOn w:val="List2"/>
    <w:rsid w:val="00F17B85"/>
    <w:pPr>
      <w:numPr>
        <w:numId w:val="8"/>
      </w:numPr>
    </w:pPr>
  </w:style>
  <w:style w:type="paragraph" w:styleId="List2">
    <w:name w:val="List 2"/>
    <w:basedOn w:val="BodyText"/>
    <w:rsid w:val="00F17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B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B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7B85"/>
    <w:pPr>
      <w:numPr>
        <w:numId w:val="4"/>
      </w:numPr>
    </w:pPr>
  </w:style>
  <w:style w:type="paragraph" w:styleId="ListContinue2">
    <w:name w:val="List Continue 2"/>
    <w:basedOn w:val="List2"/>
    <w:rsid w:val="00F17B85"/>
    <w:pPr>
      <w:ind w:firstLine="0"/>
    </w:pPr>
  </w:style>
  <w:style w:type="paragraph" w:styleId="ListContinue3">
    <w:name w:val="List Continue 3"/>
    <w:basedOn w:val="List3"/>
    <w:rsid w:val="00F17B85"/>
    <w:pPr>
      <w:ind w:left="1021" w:firstLine="0"/>
    </w:pPr>
  </w:style>
  <w:style w:type="paragraph" w:styleId="ListContinue4">
    <w:name w:val="List Continue 4"/>
    <w:basedOn w:val="List4"/>
    <w:rsid w:val="00F17B85"/>
    <w:pPr>
      <w:ind w:firstLine="0"/>
    </w:pPr>
  </w:style>
  <w:style w:type="paragraph" w:styleId="ListContinue5">
    <w:name w:val="List Continue 5"/>
    <w:basedOn w:val="List5"/>
    <w:rsid w:val="00F17B85"/>
    <w:pPr>
      <w:ind w:firstLine="0"/>
    </w:pPr>
  </w:style>
  <w:style w:type="paragraph" w:styleId="ListNumber3">
    <w:name w:val="List Number 3"/>
    <w:basedOn w:val="List3"/>
    <w:rsid w:val="00F17B85"/>
    <w:pPr>
      <w:numPr>
        <w:numId w:val="5"/>
      </w:numPr>
    </w:pPr>
  </w:style>
  <w:style w:type="paragraph" w:styleId="ListNumber4">
    <w:name w:val="List Number 4"/>
    <w:basedOn w:val="List4"/>
    <w:rsid w:val="00F17B85"/>
    <w:pPr>
      <w:numPr>
        <w:numId w:val="6"/>
      </w:numPr>
    </w:pPr>
  </w:style>
  <w:style w:type="paragraph" w:styleId="ListNumber5">
    <w:name w:val="List Number 5"/>
    <w:basedOn w:val="List5"/>
    <w:rsid w:val="00F17B85"/>
    <w:pPr>
      <w:numPr>
        <w:numId w:val="7"/>
      </w:numPr>
    </w:pPr>
  </w:style>
  <w:style w:type="paragraph" w:styleId="BlockText">
    <w:name w:val="Block Text"/>
    <w:basedOn w:val="Normal"/>
    <w:rsid w:val="00F17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B85"/>
    <w:rPr>
      <w:sz w:val="16"/>
      <w:vertAlign w:val="superscript"/>
    </w:rPr>
  </w:style>
  <w:style w:type="character" w:customStyle="1" w:styleId="Symbols">
    <w:name w:val="Symbols"/>
    <w:basedOn w:val="DefaultParagraphFont"/>
    <w:rsid w:val="00F17B85"/>
    <w:rPr>
      <w:rFonts w:ascii="Symbol" w:hAnsi="Symbol"/>
    </w:rPr>
  </w:style>
  <w:style w:type="character" w:customStyle="1" w:styleId="MenuOptions">
    <w:name w:val="Menu Options"/>
    <w:basedOn w:val="DefaultParagraphFont"/>
    <w:rsid w:val="00F17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B85"/>
    <w:rPr>
      <w:b/>
    </w:rPr>
  </w:style>
  <w:style w:type="character" w:customStyle="1" w:styleId="Underlined">
    <w:name w:val="Underlined"/>
    <w:basedOn w:val="DefaultParagraphFont"/>
    <w:rsid w:val="00F17B85"/>
    <w:rPr>
      <w:u w:val="single"/>
    </w:rPr>
  </w:style>
  <w:style w:type="paragraph" w:customStyle="1" w:styleId="TableBodyTextRight">
    <w:name w:val="Table Body Text Right"/>
    <w:basedOn w:val="TableBodyText"/>
    <w:rsid w:val="00F17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B85"/>
    <w:rPr>
      <w:sz w:val="18"/>
    </w:rPr>
  </w:style>
  <w:style w:type="paragraph" w:customStyle="1" w:styleId="BodySmallRight">
    <w:name w:val="Body Small Right"/>
    <w:basedOn w:val="BodyTextRight"/>
    <w:rsid w:val="00F17B85"/>
    <w:rPr>
      <w:sz w:val="18"/>
      <w:szCs w:val="18"/>
    </w:rPr>
  </w:style>
  <w:style w:type="paragraph" w:customStyle="1" w:styleId="MarginEdition">
    <w:name w:val="Margin Edition"/>
    <w:basedOn w:val="MarginNote"/>
    <w:rsid w:val="00F17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B85"/>
    <w:rPr>
      <w:sz w:val="2"/>
      <w:szCs w:val="2"/>
    </w:rPr>
  </w:style>
  <w:style w:type="character" w:customStyle="1" w:styleId="Small">
    <w:name w:val="Small"/>
    <w:basedOn w:val="DefaultParagraphFont"/>
    <w:rsid w:val="00F17B85"/>
    <w:rPr>
      <w:sz w:val="16"/>
    </w:rPr>
  </w:style>
  <w:style w:type="paragraph" w:customStyle="1" w:styleId="WideTable">
    <w:name w:val="Wide Table"/>
    <w:basedOn w:val="Normal"/>
    <w:rsid w:val="00F17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B85"/>
  </w:style>
  <w:style w:type="paragraph" w:styleId="Quote">
    <w:name w:val="Quote"/>
    <w:basedOn w:val="Heading1"/>
    <w:link w:val="QuoteChar"/>
    <w:qFormat/>
    <w:rsid w:val="00F17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B85"/>
    <w:pPr>
      <w:pageBreakBefore/>
    </w:pPr>
  </w:style>
  <w:style w:type="paragraph" w:customStyle="1" w:styleId="Border">
    <w:name w:val="Border"/>
    <w:basedOn w:val="Normal"/>
    <w:qFormat/>
    <w:rsid w:val="00F17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B85"/>
    <w:rPr>
      <w:u w:val="single"/>
    </w:rPr>
  </w:style>
  <w:style w:type="character" w:customStyle="1" w:styleId="BoldandItalics">
    <w:name w:val="Bold and Italics"/>
    <w:qFormat/>
    <w:rsid w:val="00F17B85"/>
    <w:rPr>
      <w:b/>
      <w:i/>
      <w:u w:val="none"/>
    </w:rPr>
  </w:style>
  <w:style w:type="paragraph" w:styleId="BalloonText">
    <w:name w:val="Balloon Text"/>
    <w:basedOn w:val="Normal"/>
    <w:link w:val="BalloonTextChar"/>
    <w:rsid w:val="00F17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B85"/>
    <w:pPr>
      <w:spacing w:before="0" w:after="0"/>
    </w:pPr>
  </w:style>
  <w:style w:type="paragraph" w:customStyle="1" w:styleId="BodyTextBold">
    <w:name w:val="Body Text Bold"/>
    <w:basedOn w:val="BodyText"/>
    <w:qFormat/>
    <w:rsid w:val="00F17B85"/>
    <w:rPr>
      <w:b/>
    </w:rPr>
  </w:style>
  <w:style w:type="character" w:styleId="Hyperlink">
    <w:name w:val="Hyperlink"/>
    <w:basedOn w:val="DefaultParagraphFont"/>
    <w:uiPriority w:val="99"/>
    <w:unhideWhenUsed/>
    <w:rsid w:val="00D54F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6257</Characters>
  <Application>Microsoft Office Word</Application>
  <DocSecurity>0</DocSecurity>
  <Lines>272</Lines>
  <Paragraphs>156</Paragraphs>
  <ScaleCrop>false</ScaleCrop>
  <Company>Author-it Software Corporation Ltd.</Company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CPCCJN3100 Process materials to produce components using static machines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