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181D" w:rsidP="006E181D">
      <w:pPr>
        <w:pStyle w:val="Title"/>
      </w:pPr>
      <w:r>
        <w:fldChar w:fldCharType="begin"/>
      </w:r>
      <w:r>
        <w:instrText xml:space="preserve"> TITLE   \* MERGEFORMAT </w:instrText>
      </w:r>
      <w:r>
        <w:fldChar w:fldCharType="separate"/>
      </w:r>
      <w:r>
        <w:t>CPCCJN3001 Process materials to produce components using static machines</w:t>
      </w:r>
      <w:r>
        <w:fldChar w:fldCharType="end"/>
      </w:r>
    </w:p>
    <w:p w:rsidR="006E181D" w:rsidP="006E181D">
      <w:pPr>
        <w:pStyle w:val="Version"/>
        <w:sectPr w:rsidSect="00FF2F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2FA9" w:rsidP="00FF2FA9">
      <w:pPr>
        <w:pStyle w:val="SuperHeading"/>
      </w:pPr>
      <w:r w:rsidRPr="00FF2FA9">
        <w:t>CPCCJN3001 Process materials to produce components using static machines</w:t>
      </w:r>
    </w:p>
    <w:p w:rsidR="00000000" w:rsidRPr="00FF2FA9" w:rsidP="00FF2FA9">
      <w:pPr>
        <w:pStyle w:val="Heading1"/>
      </w:pPr>
      <w:bookmarkStart w:id="1" w:name="O_831302"/>
      <w:bookmarkEnd w:id="1"/>
      <w:r w:rsidRPr="00FF2FA9">
        <w:t>Modification History</w:t>
      </w:r>
    </w:p>
    <w:p w:rsidR="006E181D" w:rsidP="006E181D">
      <w:pPr>
        <w:pStyle w:val="BodyText"/>
      </w:pPr>
      <w:r w:rsidRPr="00FF2FA9">
        <w:t>Release 1.</w:t>
      </w:r>
    </w:p>
    <w:p w:rsidR="006E181D" w:rsidP="006E181D">
      <w:pPr>
        <w:pStyle w:val="BodyText"/>
      </w:pPr>
      <w:r w:rsidRPr="00FF2FA9">
        <w:t>This version first released with CPC Construction, Plumbing and Services Training Package Version 2.</w:t>
      </w:r>
    </w:p>
    <w:p w:rsidR="00000000" w:rsidRPr="00FF2FA9" w:rsidP="006E181D">
      <w:pPr>
        <w:pStyle w:val="BodyText"/>
      </w:pPr>
      <w:r w:rsidRPr="00FF2FA9">
        <w:t>Revised unit of competency. Replaces superseded equivalent CPCCJN3001A Use static machines.</w:t>
      </w:r>
    </w:p>
    <w:p w:rsidR="00000000" w:rsidRPr="00FF2FA9" w:rsidP="00FF2FA9">
      <w:pPr>
        <w:pStyle w:val="Heading1"/>
      </w:pPr>
      <w:bookmarkStart w:id="2" w:name="O_831310"/>
      <w:bookmarkEnd w:id="2"/>
      <w:r w:rsidRPr="00FF2FA9">
        <w:t>Application</w:t>
      </w:r>
    </w:p>
    <w:p w:rsidR="00000000" w:rsidRPr="00FF2FA9" w:rsidP="006E181D">
      <w:pPr>
        <w:pStyle w:val="BodyText"/>
      </w:pPr>
      <w:r w:rsidRPr="00FF2FA9">
        <w:t>This unit of competency specifies the outcomes required to process materials using machines that are fixed to a set location. Materials</w:t>
      </w:r>
      <w:r w:rsidRPr="00FF2FA9">
        <w:t xml:space="preserve"> to be processed may be acrylic, glass, laminates, metal, stone or timber.</w:t>
      </w:r>
    </w:p>
    <w:p w:rsidR="00000000" w:rsidRPr="00FF2FA9" w:rsidP="006E181D">
      <w:pPr>
        <w:pStyle w:val="BodyText"/>
      </w:pPr>
      <w:r w:rsidRPr="00FF2FA9">
        <w:t xml:space="preserve">The unit supports construction workers responsible for producing components for external or internal elements of buildings or fittings, such as wall units and benchtop units. This </w:t>
      </w:r>
      <w:r w:rsidRPr="00FF2FA9">
        <w:t>work is conducted off site and may include working with others and as a member of a team. It applies to residential and commercial componentry.</w:t>
      </w:r>
    </w:p>
    <w:p w:rsidR="00000000" w:rsidRPr="00FF2FA9" w:rsidP="006E181D">
      <w:pPr>
        <w:pStyle w:val="BodyText"/>
      </w:pPr>
      <w:r w:rsidRPr="00FF2FA9">
        <w:t>No licensing, legislative, regulatory or certification requirements apply to this unit of competency at the tim</w:t>
      </w:r>
      <w:r w:rsidRPr="00FF2FA9">
        <w:t>e of endorsement.</w:t>
      </w:r>
    </w:p>
    <w:p w:rsidR="00000000" w:rsidRPr="00FF2FA9" w:rsidP="00FF2FA9">
      <w:pPr>
        <w:pStyle w:val="Heading1"/>
      </w:pPr>
      <w:bookmarkStart w:id="3" w:name="O_831309"/>
      <w:bookmarkEnd w:id="3"/>
      <w:r w:rsidRPr="00FF2FA9">
        <w:t>Pre-requisite Unit</w:t>
      </w:r>
    </w:p>
    <w:p w:rsidR="00000000" w:rsidRPr="00FF2FA9" w:rsidP="006E181D">
      <w:pPr>
        <w:pStyle w:val="BodyText"/>
      </w:pPr>
      <w:r w:rsidRPr="00FF2FA9">
        <w:t>Nil</w:t>
      </w:r>
    </w:p>
    <w:p w:rsidR="00000000" w:rsidRPr="00FF2FA9" w:rsidP="00FF2FA9">
      <w:pPr>
        <w:pStyle w:val="Heading1"/>
      </w:pPr>
      <w:bookmarkStart w:id="4" w:name="O_831308"/>
      <w:bookmarkEnd w:id="4"/>
      <w:r w:rsidRPr="00FF2FA9">
        <w:t>Competency Field</w:t>
      </w:r>
    </w:p>
    <w:p w:rsidR="00000000" w:rsidRPr="00FF2FA9" w:rsidP="006E181D">
      <w:pPr>
        <w:pStyle w:val="BodyText"/>
      </w:pPr>
      <w:r w:rsidRPr="00FF2FA9">
        <w:t>Joinery</w:t>
      </w:r>
    </w:p>
    <w:p w:rsidR="00000000" w:rsidRPr="00FF2FA9" w:rsidP="00FF2FA9">
      <w:pPr>
        <w:pStyle w:val="Heading1"/>
      </w:pPr>
      <w:bookmarkStart w:id="5" w:name="O_831307"/>
      <w:bookmarkEnd w:id="5"/>
      <w:r w:rsidRPr="00FF2FA9">
        <w:t>Unit Sector</w:t>
      </w:r>
    </w:p>
    <w:p w:rsidR="00000000" w:rsidRPr="00FF2FA9" w:rsidP="006E181D">
      <w:pPr>
        <w:pStyle w:val="BodyText"/>
      </w:pPr>
      <w:r w:rsidRPr="00FF2FA9">
        <w:t>Construction</w:t>
      </w:r>
    </w:p>
    <w:p w:rsidR="00000000" w:rsidRPr="00FF2FA9" w:rsidP="00FF2FA9">
      <w:pPr>
        <w:pStyle w:val="Heading1"/>
      </w:pPr>
      <w:bookmarkStart w:id="6" w:name="O_831306"/>
      <w:bookmarkEnd w:id="6"/>
      <w:r w:rsidRPr="00FF2FA9">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FF2FA9">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Performance criteria describe the performance needed to demonstrate achievement of the element. Where bold italicised text is used, further information is detailed in the range of conditions.</w:t>
            </w:r>
          </w:p>
        </w:tc>
      </w:tr>
      <w:tr w:rsidTr="00FF2FA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1.</w:t>
            </w:r>
          </w:p>
        </w:tc>
        <w:tc>
          <w:tcPr>
            <w:tcW w:w="1962" w:type="dxa"/>
            <w:vMerge w:val="restart"/>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Plan and prepare job.</w:t>
            </w:r>
          </w:p>
        </w:tc>
        <w:tc>
          <w:tcPr>
            <w:tcW w:w="77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1.1.</w:t>
            </w:r>
          </w:p>
        </w:tc>
        <w:tc>
          <w:tcPr>
            <w:tcW w:w="561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Job requirements are obtained, c</w:t>
            </w:r>
            <w:r w:rsidRPr="00FF2FA9">
              <w:t xml:space="preserve">onfirmed and applied to planning. </w:t>
            </w:r>
          </w:p>
        </w:tc>
      </w:tr>
      <w:tr w:rsidTr="00FF2FA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1.2.</w:t>
            </w:r>
          </w:p>
        </w:tc>
        <w:tc>
          <w:tcPr>
            <w:tcW w:w="561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 xml:space="preserve">Work area is inspected, conditions and hazards are identified, and </w:t>
            </w:r>
            <w:r w:rsidRPr="00FF2FA9">
              <w:rPr>
                <w:rStyle w:val="BoldandItalics"/>
              </w:rPr>
              <w:t>health and safety requirements</w:t>
            </w:r>
            <w:r w:rsidRPr="00FF2FA9">
              <w:t xml:space="preserve"> are confirmed with relevant personnel and applied to planning.</w:t>
            </w:r>
          </w:p>
        </w:tc>
      </w:tr>
      <w:tr w:rsidTr="00FF2FA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1.3.</w:t>
            </w:r>
          </w:p>
        </w:tc>
        <w:tc>
          <w:tcPr>
            <w:tcW w:w="561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 xml:space="preserve">Static machine is checked for serviceability according to job requirements, and faults are rectified using appropriate maintenance tools and equipment or reported before starting work. </w:t>
            </w:r>
          </w:p>
        </w:tc>
      </w:tr>
      <w:tr w:rsidTr="00FF2FA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RPr="00FF2FA9" w:rsidP="00FF2FA9">
            <w:pPr>
              <w:pStyle w:val="BodyText"/>
            </w:pPr>
            <w:r w:rsidRPr="00FF2FA9">
              <w:t>1.4.</w:t>
            </w:r>
          </w:p>
        </w:tc>
        <w:tc>
          <w:tcPr>
            <w:tcW w:w="561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rPr>
                <w:rStyle w:val="BoldandItalics"/>
              </w:rPr>
              <w:t xml:space="preserve">Safe operating procedures for static machine </w:t>
            </w:r>
            <w:r w:rsidRPr="00FF2FA9">
              <w:t xml:space="preserve">are reviewed and </w:t>
            </w:r>
            <w:r w:rsidRPr="00FF2FA9">
              <w:t>confirmed with relevant personnel, and applied to planning.</w:t>
            </w:r>
          </w:p>
        </w:tc>
      </w:tr>
      <w:tr w:rsidTr="00FF2FA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RPr="00FF2FA9" w:rsidP="00FF2FA9">
            <w:pPr>
              <w:pStyle w:val="BodyText"/>
            </w:pPr>
            <w:r w:rsidRPr="00FF2FA9">
              <w:t>1.5.</w:t>
            </w:r>
          </w:p>
        </w:tc>
        <w:tc>
          <w:tcPr>
            <w:tcW w:w="561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rPr>
                <w:rStyle w:val="BoldandItalics"/>
              </w:rPr>
              <w:t>Materials</w:t>
            </w:r>
            <w:r w:rsidRPr="00FF2FA9">
              <w:t xml:space="preserve"> are identified and cutting list is prepared according to design specifications. </w:t>
            </w:r>
          </w:p>
        </w:tc>
      </w:tr>
      <w:tr w:rsidTr="00FF2FA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1.6.</w:t>
            </w:r>
          </w:p>
        </w:tc>
        <w:tc>
          <w:tcPr>
            <w:tcW w:w="561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Material quantities are calculated and materials are</w:t>
            </w:r>
            <w:r w:rsidRPr="00FF2FA9">
              <w:rPr>
                <w:rStyle w:val="SpecialBold"/>
              </w:rPr>
              <w:t xml:space="preserve"> </w:t>
            </w:r>
            <w:r w:rsidRPr="00FF2FA9">
              <w:t xml:space="preserve">obtained, safely handled </w:t>
            </w:r>
            <w:r w:rsidRPr="00FF2FA9">
              <w:t>and located ready for use.</w:t>
            </w:r>
          </w:p>
        </w:tc>
      </w:tr>
      <w:tr w:rsidTr="00FF2FA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561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p>
        </w:tc>
      </w:tr>
      <w:tr w:rsidTr="00FF2FA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2.</w:t>
            </w:r>
          </w:p>
        </w:tc>
        <w:tc>
          <w:tcPr>
            <w:tcW w:w="1962" w:type="dxa"/>
            <w:vMerge w:val="restart"/>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Prepare materials for processing.</w:t>
            </w:r>
          </w:p>
        </w:tc>
        <w:tc>
          <w:tcPr>
            <w:tcW w:w="770" w:type="dxa"/>
            <w:tcBorders>
              <w:top w:val="nil"/>
              <w:left w:val="nil"/>
              <w:bottom w:val="nil"/>
              <w:right w:val="nil"/>
            </w:tcBorders>
            <w:tcMar>
              <w:top w:w="0" w:type="dxa"/>
              <w:left w:w="62" w:type="dxa"/>
              <w:bottom w:w="0" w:type="dxa"/>
              <w:right w:w="62" w:type="dxa"/>
            </w:tcMar>
          </w:tcPr>
          <w:p w:rsidR="00000000" w:rsidRPr="00FF2FA9" w:rsidP="00FF2FA9">
            <w:pPr>
              <w:pStyle w:val="BodyText"/>
            </w:pPr>
            <w:r w:rsidRPr="00FF2FA9">
              <w:t>2.1.</w:t>
            </w:r>
          </w:p>
        </w:tc>
        <w:tc>
          <w:tcPr>
            <w:tcW w:w="561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rPr>
                <w:rStyle w:val="BoldandItalics"/>
              </w:rPr>
              <w:t>Component</w:t>
            </w:r>
            <w:r w:rsidRPr="00FF2FA9">
              <w:t xml:space="preserve"> drawings are reviewed and component identity, face and edge are marked on each piece of material according to design specification.</w:t>
            </w:r>
          </w:p>
        </w:tc>
      </w:tr>
      <w:tr w:rsidTr="00FF2FA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2.2.</w:t>
            </w:r>
          </w:p>
        </w:tc>
        <w:tc>
          <w:tcPr>
            <w:tcW w:w="561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Jigs and templates relevant to the job are identified and applied, as required.</w:t>
            </w:r>
          </w:p>
        </w:tc>
      </w:tr>
      <w:tr w:rsidTr="00FF2FA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2.3.</w:t>
            </w:r>
          </w:p>
        </w:tc>
        <w:tc>
          <w:tcPr>
            <w:tcW w:w="561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 xml:space="preserve">Length and joint details of components are set out and marked on component material. </w:t>
            </w:r>
          </w:p>
        </w:tc>
      </w:tr>
      <w:tr w:rsidTr="00FF2FA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2.4.</w:t>
            </w:r>
          </w:p>
        </w:tc>
        <w:tc>
          <w:tcPr>
            <w:tcW w:w="561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Component marking and dimensions are checked before machining.</w:t>
            </w:r>
          </w:p>
        </w:tc>
      </w:tr>
      <w:tr w:rsidTr="00FF2FA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561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p>
        </w:tc>
      </w:tr>
      <w:tr w:rsidTr="00FF2FA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3.</w:t>
            </w:r>
          </w:p>
        </w:tc>
        <w:tc>
          <w:tcPr>
            <w:tcW w:w="1962" w:type="dxa"/>
            <w:vMerge w:val="restart"/>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Process materials.</w:t>
            </w:r>
          </w:p>
        </w:tc>
        <w:tc>
          <w:tcPr>
            <w:tcW w:w="77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3.1.</w:t>
            </w:r>
          </w:p>
        </w:tc>
        <w:tc>
          <w:tcPr>
            <w:tcW w:w="561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 xml:space="preserve">Machine and fences or guides are set up for required operating process and setting is locked into position </w:t>
            </w:r>
            <w:r w:rsidRPr="00FF2FA9">
              <w:t>according to standard operating procedures.</w:t>
            </w:r>
          </w:p>
        </w:tc>
      </w:tr>
      <w:tr w:rsidTr="00FF2FA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3.2.</w:t>
            </w:r>
          </w:p>
        </w:tc>
        <w:tc>
          <w:tcPr>
            <w:tcW w:w="561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Machine start-up procedure is carried out according to manufacturer recom</w:t>
            </w:r>
            <w:r w:rsidRPr="00FF2FA9">
              <w:t>mendations.</w:t>
            </w:r>
          </w:p>
        </w:tc>
      </w:tr>
      <w:tr w:rsidTr="00FF2FA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3.3.</w:t>
            </w:r>
          </w:p>
        </w:tc>
        <w:tc>
          <w:tcPr>
            <w:tcW w:w="561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Marked-up material is fed to machine, where applicable, according to manufacturer recommendations, and safe handling and standard operating procedures.</w:t>
            </w:r>
          </w:p>
        </w:tc>
      </w:tr>
      <w:tr w:rsidTr="00FF2FA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3.4.</w:t>
            </w:r>
          </w:p>
        </w:tc>
        <w:tc>
          <w:tcPr>
            <w:tcW w:w="561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Material is set up and held in place for mobile machine and moving table operations according to manufacturer recommendations.</w:t>
            </w:r>
          </w:p>
        </w:tc>
      </w:tr>
      <w:tr w:rsidTr="00FF2FA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3.5.</w:t>
            </w:r>
          </w:p>
        </w:tc>
        <w:tc>
          <w:tcPr>
            <w:tcW w:w="561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Machine is operated within its designed capacity and purpose, and according to manufacturer specifications and health and</w:t>
            </w:r>
            <w:r w:rsidRPr="00FF2FA9">
              <w:t xml:space="preserve"> safety requirements.</w:t>
            </w:r>
          </w:p>
        </w:tc>
      </w:tr>
      <w:tr w:rsidTr="00FF2FA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3.6.</w:t>
            </w:r>
          </w:p>
        </w:tc>
        <w:tc>
          <w:tcPr>
            <w:tcW w:w="561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Machine shut-down and switch-off procedures are carried out according to manufacturer recommendations and under supervisor instructions.</w:t>
            </w:r>
          </w:p>
        </w:tc>
      </w:tr>
      <w:tr w:rsidTr="00FF2FA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3.7.</w:t>
            </w:r>
          </w:p>
        </w:tc>
        <w:tc>
          <w:tcPr>
            <w:tcW w:w="561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Components are labelled and positioned for assembly according to job requirements.</w:t>
            </w:r>
          </w:p>
        </w:tc>
      </w:tr>
      <w:tr w:rsidTr="00FF2FA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561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p>
        </w:tc>
      </w:tr>
      <w:tr w:rsidTr="00FF2FA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4.</w:t>
            </w:r>
          </w:p>
        </w:tc>
        <w:tc>
          <w:tcPr>
            <w:tcW w:w="1962" w:type="dxa"/>
            <w:vMerge w:val="restart"/>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Maintain machine and attachments.</w:t>
            </w:r>
          </w:p>
        </w:tc>
        <w:tc>
          <w:tcPr>
            <w:tcW w:w="77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4.1.</w:t>
            </w:r>
          </w:p>
        </w:tc>
        <w:tc>
          <w:tcPr>
            <w:tcW w:w="561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Machines are maintained through regular servicing and according to manufacturer operating manuals.</w:t>
            </w:r>
          </w:p>
        </w:tc>
      </w:tr>
      <w:tr w:rsidTr="00FF2FA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4.2.</w:t>
            </w:r>
          </w:p>
        </w:tc>
        <w:tc>
          <w:tcPr>
            <w:tcW w:w="561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Major faults are identified and reported to responsible supervisor.</w:t>
            </w:r>
          </w:p>
        </w:tc>
      </w:tr>
      <w:tr w:rsidTr="00FF2FA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4.3.</w:t>
            </w:r>
          </w:p>
        </w:tc>
        <w:tc>
          <w:tcPr>
            <w:tcW w:w="561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Minor faults are identified and corrected where applicable under supervision.</w:t>
            </w:r>
          </w:p>
        </w:tc>
      </w:tr>
      <w:tr w:rsidTr="00FF2FA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4.4.</w:t>
            </w:r>
          </w:p>
        </w:tc>
        <w:tc>
          <w:tcPr>
            <w:tcW w:w="561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Assistance is given as required when blades and attachments are fitted and secured, under supe</w:t>
            </w:r>
            <w:r w:rsidRPr="00FF2FA9">
              <w:t>rvisor instruction and according to manufacturer specifications.</w:t>
            </w:r>
          </w:p>
        </w:tc>
      </w:tr>
      <w:tr w:rsidTr="00FF2FA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561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p>
        </w:tc>
      </w:tr>
      <w:tr w:rsidTr="00FF2FA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5.</w:t>
            </w:r>
          </w:p>
        </w:tc>
        <w:tc>
          <w:tcPr>
            <w:tcW w:w="1962" w:type="dxa"/>
            <w:vMerge w:val="restart"/>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Clean up.</w:t>
            </w:r>
          </w:p>
        </w:tc>
        <w:tc>
          <w:tcPr>
            <w:tcW w:w="77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5.1.</w:t>
            </w:r>
          </w:p>
        </w:tc>
        <w:tc>
          <w:tcPr>
            <w:tcW w:w="561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Machine is cleaned and waste material disposed of safely under supervisor instruction and in line with workplace environmental requirements.</w:t>
            </w:r>
          </w:p>
        </w:tc>
      </w:tr>
      <w:tr w:rsidTr="00FF2FA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5.2.</w:t>
            </w:r>
          </w:p>
        </w:tc>
        <w:tc>
          <w:tcPr>
            <w:tcW w:w="5610" w:type="dxa"/>
            <w:tcBorders>
              <w:top w:val="nil"/>
              <w:left w:val="nil"/>
              <w:bottom w:val="nil"/>
              <w:right w:val="nil"/>
            </w:tcBorders>
            <w:tcMar>
              <w:top w:w="0" w:type="dxa"/>
              <w:left w:w="62" w:type="dxa"/>
              <w:bottom w:w="0" w:type="dxa"/>
              <w:right w:w="62" w:type="dxa"/>
            </w:tcMar>
          </w:tcPr>
          <w:p w:rsidR="00000000" w:rsidRPr="00FF2FA9" w:rsidP="00FF2FA9">
            <w:pPr>
              <w:pStyle w:val="BodyText"/>
            </w:pPr>
            <w:r w:rsidRPr="00FF2FA9">
              <w:t>Cutters, blades and attachments are cleaned, checked and stored under supervisor instruction.</w:t>
            </w:r>
          </w:p>
        </w:tc>
      </w:tr>
    </w:tbl>
    <w:p w:rsidR="00000000" w:rsidRPr="00FF2FA9" w:rsidP="00FF2FA9">
      <w:pPr>
        <w:pStyle w:val="BodyText"/>
      </w:pPr>
    </w:p>
    <w:p w:rsidR="00000000" w:rsidRPr="00FF2FA9" w:rsidP="00FF2FA9">
      <w:pPr>
        <w:pStyle w:val="AllowPageBreak"/>
      </w:pPr>
    </w:p>
    <w:p w:rsidR="00000000" w:rsidRPr="00FF2FA9" w:rsidP="00FF2FA9">
      <w:pPr>
        <w:pStyle w:val="Heading1"/>
      </w:pPr>
      <w:bookmarkStart w:id="7" w:name="O_831305"/>
      <w:bookmarkEnd w:id="7"/>
      <w:r w:rsidRPr="00FF2FA9">
        <w:t>Foundation Skills</w:t>
      </w:r>
    </w:p>
    <w:tbl>
      <w:tblPr>
        <w:tblW w:w="0" w:type="auto"/>
        <w:tblLayout w:type="fixed"/>
        <w:tblCellMar>
          <w:left w:w="62" w:type="dxa"/>
          <w:right w:w="62" w:type="dxa"/>
        </w:tblCellMar>
        <w:tblLook w:val="0000"/>
      </w:tblPr>
      <w:tblGrid>
        <w:gridCol w:w="2760"/>
        <w:gridCol w:w="6312"/>
      </w:tblGrid>
      <w:tr w:rsidTr="00FF2F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This secti</w:t>
            </w:r>
            <w:r w:rsidRPr="00FF2FA9">
              <w:t>on describes the language, literacy, numeracy and employment skills essential to performance in this unit but not explicit in the performance criteria.</w:t>
            </w:r>
          </w:p>
        </w:tc>
      </w:tr>
      <w:tr w:rsidTr="00FF2FA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F2FA9" w:rsidP="00FF2FA9">
            <w:pPr>
              <w:pStyle w:val="BodyText"/>
            </w:pPr>
            <w:r w:rsidRPr="00FF2FA9">
              <w:rPr>
                <w:rStyle w:val="SpecialBold"/>
              </w:rPr>
              <w:t>Skill</w:t>
            </w:r>
          </w:p>
        </w:tc>
        <w:tc>
          <w:tcPr>
            <w:tcW w:w="6312"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rPr>
                <w:rStyle w:val="SpecialBold"/>
              </w:rPr>
              <w:t>Performance feature</w:t>
            </w:r>
          </w:p>
        </w:tc>
      </w:tr>
      <w:tr w:rsidTr="00FF2FA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Numeracy skills to:</w:t>
            </w:r>
          </w:p>
        </w:tc>
        <w:tc>
          <w:tcPr>
            <w:tcW w:w="6312" w:type="dxa"/>
            <w:tcBorders>
              <w:top w:val="nil"/>
              <w:left w:val="nil"/>
              <w:bottom w:val="nil"/>
              <w:right w:val="nil"/>
            </w:tcBorders>
            <w:tcMar>
              <w:top w:w="0" w:type="dxa"/>
              <w:left w:w="62" w:type="dxa"/>
              <w:bottom w:w="0" w:type="dxa"/>
              <w:right w:w="62" w:type="dxa"/>
            </w:tcMar>
          </w:tcPr>
          <w:p w:rsidR="00000000" w:rsidRPr="00FF2FA9" w:rsidP="00FF2FA9">
            <w:pPr>
              <w:pStyle w:val="ListBullet"/>
            </w:pPr>
            <w:r w:rsidRPr="00FF2FA9">
              <w:t>interpret material quantities in component drawings.</w:t>
            </w:r>
          </w:p>
          <w:p w:rsidR="00000000" w:rsidP="00FF2FA9">
            <w:pPr>
              <w:pStyle w:val="BodyText"/>
              <w:rPr>
                <w:lang w:val="en-NZ"/>
              </w:rPr>
            </w:pPr>
          </w:p>
        </w:tc>
      </w:tr>
      <w:tr w:rsidTr="00FF2FA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Oral communication skills to:</w:t>
            </w:r>
          </w:p>
        </w:tc>
        <w:tc>
          <w:tcPr>
            <w:tcW w:w="6312" w:type="dxa"/>
            <w:tcBorders>
              <w:top w:val="nil"/>
              <w:left w:val="nil"/>
              <w:bottom w:val="nil"/>
              <w:right w:val="nil"/>
            </w:tcBorders>
            <w:tcMar>
              <w:top w:w="0" w:type="dxa"/>
              <w:left w:w="62" w:type="dxa"/>
              <w:bottom w:w="0" w:type="dxa"/>
              <w:right w:w="62" w:type="dxa"/>
            </w:tcMar>
          </w:tcPr>
          <w:p w:rsidR="00000000" w:rsidRPr="00FF2FA9" w:rsidP="00FF2FA9">
            <w:pPr>
              <w:pStyle w:val="ListBullet"/>
            </w:pPr>
            <w:r w:rsidRPr="00FF2FA9">
              <w:t>enable clear and direct communication and sharing of information</w:t>
            </w:r>
          </w:p>
          <w:p w:rsidR="00000000" w:rsidRPr="00FF2FA9" w:rsidP="00FF2FA9">
            <w:pPr>
              <w:pStyle w:val="ListBullet"/>
            </w:pPr>
            <w:r w:rsidRPr="00FF2FA9">
              <w:t>use listening and questioning to identify and confirm requirements.</w:t>
            </w:r>
          </w:p>
          <w:p w:rsidR="00000000" w:rsidP="00FF2FA9">
            <w:pPr>
              <w:pStyle w:val="BodyText"/>
              <w:rPr>
                <w:lang w:val="en-NZ"/>
              </w:rPr>
            </w:pPr>
          </w:p>
        </w:tc>
      </w:tr>
      <w:tr w:rsidTr="00FF2FA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Reading skills to:</w:t>
            </w:r>
          </w:p>
        </w:tc>
        <w:tc>
          <w:tcPr>
            <w:tcW w:w="6312" w:type="dxa"/>
            <w:tcBorders>
              <w:top w:val="nil"/>
              <w:left w:val="nil"/>
              <w:bottom w:val="nil"/>
              <w:right w:val="nil"/>
            </w:tcBorders>
            <w:tcMar>
              <w:top w:w="0" w:type="dxa"/>
              <w:left w:w="62" w:type="dxa"/>
              <w:bottom w:w="0" w:type="dxa"/>
              <w:right w:w="62" w:type="dxa"/>
            </w:tcMar>
          </w:tcPr>
          <w:p w:rsidR="00000000" w:rsidRPr="00FF2FA9" w:rsidP="00FF2FA9">
            <w:pPr>
              <w:pStyle w:val="ListBullet"/>
            </w:pPr>
            <w:r w:rsidRPr="00FF2FA9">
              <w:t>read and interpret machine operating manual and job specifications.</w:t>
            </w:r>
          </w:p>
          <w:p w:rsidR="00000000" w:rsidP="00FF2FA9">
            <w:pPr>
              <w:pStyle w:val="BodyText"/>
              <w:rPr>
                <w:lang w:val="en-NZ"/>
              </w:rPr>
            </w:pPr>
          </w:p>
        </w:tc>
      </w:tr>
      <w:tr w:rsidTr="00FF2FA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Writing skills to:</w:t>
            </w:r>
          </w:p>
        </w:tc>
        <w:tc>
          <w:tcPr>
            <w:tcW w:w="6312" w:type="dxa"/>
            <w:tcBorders>
              <w:top w:val="nil"/>
              <w:left w:val="nil"/>
              <w:bottom w:val="nil"/>
              <w:right w:val="nil"/>
            </w:tcBorders>
            <w:tcMar>
              <w:top w:w="0" w:type="dxa"/>
              <w:left w:w="62" w:type="dxa"/>
              <w:bottom w:w="0" w:type="dxa"/>
              <w:right w:w="62" w:type="dxa"/>
            </w:tcMar>
          </w:tcPr>
          <w:p w:rsidR="00000000" w:rsidRPr="00FF2FA9" w:rsidP="00FF2FA9">
            <w:pPr>
              <w:pStyle w:val="ListBullet"/>
            </w:pPr>
            <w:r w:rsidRPr="00FF2FA9">
              <w:t>report equipment faults.</w:t>
            </w:r>
          </w:p>
          <w:p w:rsidR="00000000" w:rsidP="00FF2FA9">
            <w:pPr>
              <w:pStyle w:val="BodyText"/>
              <w:rPr>
                <w:lang w:val="en-NZ"/>
              </w:rPr>
            </w:pPr>
          </w:p>
        </w:tc>
      </w:tr>
      <w:tr w:rsidTr="00FF2FA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Initiative skills to:</w:t>
            </w:r>
          </w:p>
        </w:tc>
        <w:tc>
          <w:tcPr>
            <w:tcW w:w="6312" w:type="dxa"/>
            <w:tcBorders>
              <w:top w:val="nil"/>
              <w:left w:val="nil"/>
              <w:bottom w:val="nil"/>
              <w:right w:val="nil"/>
            </w:tcBorders>
            <w:tcMar>
              <w:top w:w="0" w:type="dxa"/>
              <w:left w:w="62" w:type="dxa"/>
              <w:bottom w:w="0" w:type="dxa"/>
              <w:right w:w="62" w:type="dxa"/>
            </w:tcMar>
          </w:tcPr>
          <w:p w:rsidR="00000000" w:rsidRPr="00FF2FA9" w:rsidP="00FF2FA9">
            <w:pPr>
              <w:pStyle w:val="ListBullet"/>
            </w:pPr>
            <w:r w:rsidRPr="00FF2FA9">
              <w:t xml:space="preserve">respond to change and contribute to workplace responsibilities </w:t>
            </w:r>
          </w:p>
          <w:p w:rsidR="00000000" w:rsidRPr="00FF2FA9" w:rsidP="00FF2FA9">
            <w:pPr>
              <w:pStyle w:val="ListBullet"/>
            </w:pPr>
            <w:r w:rsidRPr="00FF2FA9">
              <w:t>respond to workplace challenges and put ideas into action</w:t>
            </w:r>
          </w:p>
          <w:p w:rsidR="00000000" w:rsidRPr="00FF2FA9" w:rsidP="00FF2FA9">
            <w:pPr>
              <w:pStyle w:val="ListBullet"/>
            </w:pPr>
            <w:r w:rsidRPr="00FF2FA9">
              <w:t>recognise minor faults and problems and take action to rectify them.</w:t>
            </w:r>
          </w:p>
          <w:p w:rsidR="00000000" w:rsidP="00FF2FA9">
            <w:pPr>
              <w:pStyle w:val="BodyText"/>
              <w:rPr>
                <w:lang w:val="en-NZ"/>
              </w:rPr>
            </w:pPr>
          </w:p>
        </w:tc>
      </w:tr>
      <w:tr w:rsidTr="00FF2FA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Teamwork skills to:</w:t>
            </w:r>
          </w:p>
        </w:tc>
        <w:tc>
          <w:tcPr>
            <w:tcW w:w="6312" w:type="dxa"/>
            <w:tcBorders>
              <w:top w:val="nil"/>
              <w:left w:val="nil"/>
              <w:bottom w:val="nil"/>
              <w:right w:val="nil"/>
            </w:tcBorders>
            <w:tcMar>
              <w:top w:w="0" w:type="dxa"/>
              <w:left w:w="62" w:type="dxa"/>
              <w:bottom w:w="0" w:type="dxa"/>
              <w:right w:w="62" w:type="dxa"/>
            </w:tcMar>
          </w:tcPr>
          <w:p w:rsidR="00000000" w:rsidRPr="00FF2FA9" w:rsidP="00FF2FA9">
            <w:pPr>
              <w:pStyle w:val="ListBullet"/>
            </w:pPr>
            <w:r w:rsidRPr="00FF2FA9">
              <w:t>work with others to action machine maintenance tasks.</w:t>
            </w:r>
          </w:p>
          <w:p w:rsidR="00000000" w:rsidRPr="00FF2FA9" w:rsidP="00FF2FA9">
            <w:pPr>
              <w:pStyle w:val="BodyText"/>
            </w:pPr>
          </w:p>
        </w:tc>
      </w:tr>
    </w:tbl>
    <w:p w:rsidR="00000000" w:rsidRPr="00FF2FA9" w:rsidP="00FF2FA9">
      <w:pPr>
        <w:pStyle w:val="BodyText"/>
      </w:pPr>
    </w:p>
    <w:p w:rsidR="00000000" w:rsidRPr="00FF2FA9" w:rsidP="00FF2FA9">
      <w:pPr>
        <w:pStyle w:val="AllowPageBreak"/>
      </w:pPr>
    </w:p>
    <w:p w:rsidR="00000000" w:rsidRPr="00FF2FA9" w:rsidP="00FF2FA9">
      <w:pPr>
        <w:pStyle w:val="Heading1"/>
      </w:pPr>
      <w:bookmarkStart w:id="8" w:name="O_831304"/>
      <w:bookmarkEnd w:id="8"/>
      <w:r w:rsidRPr="00FF2FA9">
        <w:t>Range of Conditions</w:t>
      </w:r>
    </w:p>
    <w:tbl>
      <w:tblPr>
        <w:tblW w:w="0" w:type="auto"/>
        <w:tblLayout w:type="fixed"/>
        <w:tblCellMar>
          <w:left w:w="62" w:type="dxa"/>
          <w:right w:w="62" w:type="dxa"/>
        </w:tblCellMar>
        <w:tblLook w:val="0000"/>
      </w:tblPr>
      <w:tblGrid>
        <w:gridCol w:w="2364"/>
        <w:gridCol w:w="6708"/>
      </w:tblGrid>
      <w:tr w:rsidTr="00FF2F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t>This section specifies work environments and conditions that may affec</w:t>
            </w:r>
            <w:r w:rsidRPr="00FF2FA9">
              <w:t>t performance. Essential operating conditions that may be present (depending on the work situation, needs of the candidate, accessibility of the item, and local industry and regional contexts) are included. Bold italicised wording, if used in the performan</w:t>
            </w:r>
            <w:r w:rsidRPr="00FF2FA9">
              <w:t>ce criteria, is detailed below.</w:t>
            </w:r>
          </w:p>
        </w:tc>
      </w:tr>
      <w:tr w:rsidTr="00FF2FA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rPr>
                <w:rStyle w:val="BoldandItalics"/>
              </w:rPr>
              <w:t xml:space="preserve">Health and safety requirements </w:t>
            </w:r>
            <w:r w:rsidRPr="00FF2FA9">
              <w:t>must include:</w:t>
            </w:r>
          </w:p>
        </w:tc>
        <w:tc>
          <w:tcPr>
            <w:tcW w:w="6708" w:type="dxa"/>
            <w:tcBorders>
              <w:top w:val="nil"/>
              <w:left w:val="nil"/>
              <w:bottom w:val="nil"/>
              <w:right w:val="nil"/>
            </w:tcBorders>
            <w:tcMar>
              <w:top w:w="0" w:type="dxa"/>
              <w:left w:w="62" w:type="dxa"/>
              <w:bottom w:w="0" w:type="dxa"/>
              <w:right w:w="62" w:type="dxa"/>
            </w:tcMar>
          </w:tcPr>
          <w:p w:rsidR="00000000" w:rsidRPr="00FF2FA9" w:rsidP="00FF2FA9">
            <w:pPr>
              <w:pStyle w:val="ListBullet"/>
            </w:pPr>
            <w:r w:rsidRPr="00FF2FA9">
              <w:t>emergency procedures, including:</w:t>
            </w:r>
          </w:p>
          <w:p w:rsidR="00000000" w:rsidRPr="00FF2FA9" w:rsidP="00FF2FA9">
            <w:pPr>
              <w:pStyle w:val="ListBullet2"/>
            </w:pPr>
            <w:r w:rsidRPr="00FF2FA9">
              <w:t>evacuation</w:t>
            </w:r>
          </w:p>
          <w:p w:rsidR="00000000" w:rsidRPr="00FF2FA9" w:rsidP="00FF2FA9">
            <w:pPr>
              <w:pStyle w:val="ListBullet2"/>
            </w:pPr>
            <w:r w:rsidRPr="00FF2FA9">
              <w:t>first aid</w:t>
            </w:r>
          </w:p>
          <w:p w:rsidR="00000000" w:rsidRPr="00FF2FA9" w:rsidP="00FF2FA9">
            <w:pPr>
              <w:pStyle w:val="ListBullet2"/>
            </w:pPr>
            <w:r w:rsidRPr="00FF2FA9">
              <w:t>location and use of firefighting equipment</w:t>
            </w:r>
          </w:p>
          <w:p w:rsidR="00000000" w:rsidRPr="00FF2FA9" w:rsidP="00FF2FA9">
            <w:pPr>
              <w:pStyle w:val="ListBullet"/>
            </w:pPr>
            <w:r w:rsidRPr="00FF2FA9">
              <w:t>hazard identification and risk control procedures, including for handling hazardous materials and dangerous goods</w:t>
            </w:r>
          </w:p>
          <w:p w:rsidR="00000000" w:rsidRPr="00FF2FA9" w:rsidP="00FF2FA9">
            <w:pPr>
              <w:pStyle w:val="ListBullet"/>
            </w:pPr>
            <w:r w:rsidRPr="00FF2FA9">
              <w:t>risk assessment and treatments associated with:</w:t>
            </w:r>
          </w:p>
          <w:p w:rsidR="00000000" w:rsidRPr="00FF2FA9" w:rsidP="00FF2FA9">
            <w:pPr>
              <w:pStyle w:val="ListBullet2"/>
            </w:pPr>
            <w:r w:rsidRPr="00FF2FA9">
              <w:t>lighting</w:t>
            </w:r>
          </w:p>
          <w:p w:rsidR="00000000" w:rsidRPr="00FF2FA9" w:rsidP="00FF2FA9">
            <w:pPr>
              <w:pStyle w:val="ListBullet2"/>
            </w:pPr>
            <w:r w:rsidRPr="00FF2FA9">
              <w:t>work site visitors and the public</w:t>
            </w:r>
          </w:p>
          <w:p w:rsidR="00000000" w:rsidRPr="00FF2FA9" w:rsidP="00FF2FA9">
            <w:pPr>
              <w:pStyle w:val="ListBullet2"/>
            </w:pPr>
            <w:r w:rsidRPr="00FF2FA9">
              <w:t>working in proximity to others</w:t>
            </w:r>
          </w:p>
          <w:p w:rsidR="00000000" w:rsidRPr="00FF2FA9" w:rsidP="00FF2FA9">
            <w:pPr>
              <w:pStyle w:val="ListBullet"/>
            </w:pPr>
            <w:r w:rsidRPr="00FF2FA9">
              <w:t>selection, correct fitting, and use of personal protective equipment (PPE) prescribed under legislation, regulations and workplace policies and practices</w:t>
            </w:r>
          </w:p>
          <w:p w:rsidR="00000000" w:rsidRPr="00FF2FA9" w:rsidP="00FF2FA9">
            <w:pPr>
              <w:pStyle w:val="ListBullet"/>
            </w:pPr>
            <w:r w:rsidRPr="00FF2FA9">
              <w:t>selection and use of tools and equipment</w:t>
            </w:r>
          </w:p>
          <w:p w:rsidR="00000000" w:rsidRPr="00FF2FA9" w:rsidP="00FF2FA9">
            <w:pPr>
              <w:pStyle w:val="ListBullet"/>
            </w:pPr>
            <w:r w:rsidRPr="00FF2FA9">
              <w:t>workplace environmental requirements.</w:t>
            </w:r>
          </w:p>
          <w:p w:rsidR="00000000" w:rsidP="00FF2FA9">
            <w:pPr>
              <w:pStyle w:val="BodyText"/>
              <w:rPr>
                <w:lang w:val="en-NZ"/>
              </w:rPr>
            </w:pPr>
          </w:p>
        </w:tc>
      </w:tr>
      <w:tr w:rsidTr="00FF2FA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rPr>
                <w:rStyle w:val="BoldandItalics"/>
              </w:rPr>
              <w:t>Safe operating procedures for static machine</w:t>
            </w:r>
            <w:r w:rsidRPr="00FF2FA9">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FF2FA9" w:rsidP="00FF2FA9">
            <w:pPr>
              <w:pStyle w:val="ListBullet"/>
            </w:pPr>
            <w:r w:rsidRPr="00FF2FA9">
              <w:t>method of operation in line with manufacturer operating manuals</w:t>
            </w:r>
          </w:p>
          <w:p w:rsidR="00000000" w:rsidRPr="00FF2FA9" w:rsidP="00FF2FA9">
            <w:pPr>
              <w:pStyle w:val="ListBullet"/>
            </w:pPr>
            <w:r w:rsidRPr="00FF2FA9">
              <w:t>health and safety requirements for:</w:t>
            </w:r>
          </w:p>
          <w:p w:rsidR="00000000" w:rsidRPr="00FF2FA9" w:rsidP="00FF2FA9">
            <w:pPr>
              <w:pStyle w:val="ListBullet2"/>
            </w:pPr>
            <w:r w:rsidRPr="00FF2FA9">
              <w:t>guard attachments</w:t>
            </w:r>
          </w:p>
          <w:p w:rsidR="00000000" w:rsidRPr="00FF2FA9" w:rsidP="00FF2FA9">
            <w:pPr>
              <w:pStyle w:val="ListBullet2"/>
            </w:pPr>
            <w:r w:rsidRPr="00FF2FA9">
              <w:t>cut-off switches</w:t>
            </w:r>
          </w:p>
          <w:p w:rsidR="00000000" w:rsidRPr="00FF2FA9" w:rsidP="00FF2FA9">
            <w:pPr>
              <w:pStyle w:val="ListBullet2"/>
            </w:pPr>
            <w:r w:rsidRPr="00FF2FA9">
              <w:t>PPE to be used.</w:t>
            </w:r>
          </w:p>
          <w:p w:rsidR="00000000" w:rsidP="00FF2FA9">
            <w:pPr>
              <w:pStyle w:val="BodyText"/>
              <w:rPr>
                <w:lang w:val="en-NZ"/>
              </w:rPr>
            </w:pPr>
          </w:p>
        </w:tc>
      </w:tr>
      <w:tr w:rsidTr="00FF2FA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rPr>
                <w:rStyle w:val="BoldandItalics"/>
              </w:rPr>
              <w:t>Static machines</w:t>
            </w:r>
            <w:r w:rsidRPr="00FF2FA9">
              <w:t xml:space="preserve"> must include five or more of the following: </w:t>
            </w:r>
          </w:p>
        </w:tc>
        <w:tc>
          <w:tcPr>
            <w:tcW w:w="6708" w:type="dxa"/>
            <w:tcBorders>
              <w:top w:val="nil"/>
              <w:left w:val="nil"/>
              <w:bottom w:val="nil"/>
              <w:right w:val="nil"/>
            </w:tcBorders>
            <w:tcMar>
              <w:top w:w="0" w:type="dxa"/>
              <w:left w:w="62" w:type="dxa"/>
              <w:bottom w:w="0" w:type="dxa"/>
              <w:right w:w="62" w:type="dxa"/>
            </w:tcMar>
          </w:tcPr>
          <w:p w:rsidR="00000000" w:rsidRPr="00FF2FA9" w:rsidP="00FF2FA9">
            <w:pPr>
              <w:pStyle w:val="ListBullet"/>
            </w:pPr>
            <w:r w:rsidRPr="00FF2FA9">
              <w:t>band saws</w:t>
            </w:r>
          </w:p>
          <w:p w:rsidR="00000000" w:rsidRPr="00FF2FA9" w:rsidP="00FF2FA9">
            <w:pPr>
              <w:pStyle w:val="ListBullet"/>
            </w:pPr>
            <w:r w:rsidRPr="00FF2FA9">
              <w:t>buzzers (jointers or surface planers)</w:t>
            </w:r>
          </w:p>
          <w:p w:rsidR="00000000" w:rsidRPr="00FF2FA9" w:rsidP="00FF2FA9">
            <w:pPr>
              <w:pStyle w:val="ListBullet"/>
            </w:pPr>
            <w:r w:rsidRPr="00FF2FA9">
              <w:t>dimensional saws</w:t>
            </w:r>
          </w:p>
          <w:p w:rsidR="00000000" w:rsidRPr="00FF2FA9" w:rsidP="00FF2FA9">
            <w:pPr>
              <w:pStyle w:val="ListBullet"/>
            </w:pPr>
            <w:r w:rsidRPr="00FF2FA9">
              <w:t>docking saws, including aluminium docking saws</w:t>
            </w:r>
          </w:p>
          <w:p w:rsidR="00000000" w:rsidRPr="00FF2FA9" w:rsidP="00FF2FA9">
            <w:pPr>
              <w:pStyle w:val="ListBullet"/>
            </w:pPr>
            <w:r w:rsidRPr="00FF2FA9">
              <w:t>grinders</w:t>
            </w:r>
          </w:p>
          <w:p w:rsidR="00000000" w:rsidRPr="00FF2FA9" w:rsidP="00FF2FA9">
            <w:pPr>
              <w:pStyle w:val="ListBullet"/>
            </w:pPr>
            <w:r w:rsidRPr="00FF2FA9">
              <w:t>mortisers</w:t>
            </w:r>
          </w:p>
          <w:p w:rsidR="00000000" w:rsidRPr="00FF2FA9" w:rsidP="00FF2FA9">
            <w:pPr>
              <w:pStyle w:val="ListBullet"/>
            </w:pPr>
            <w:r w:rsidRPr="00FF2FA9">
              <w:t>multi-drill machines</w:t>
            </w:r>
          </w:p>
          <w:p w:rsidR="00000000" w:rsidRPr="00FF2FA9" w:rsidP="00FF2FA9">
            <w:pPr>
              <w:pStyle w:val="ListBullet"/>
            </w:pPr>
            <w:r w:rsidRPr="00FF2FA9">
              <w:t>panel saws</w:t>
            </w:r>
          </w:p>
          <w:p w:rsidR="00000000" w:rsidRPr="00FF2FA9" w:rsidP="00FF2FA9">
            <w:pPr>
              <w:pStyle w:val="ListBullet"/>
            </w:pPr>
            <w:r w:rsidRPr="00FF2FA9">
              <w:t>rip saws</w:t>
            </w:r>
          </w:p>
          <w:p w:rsidR="00000000" w:rsidRPr="00FF2FA9" w:rsidP="00FF2FA9">
            <w:pPr>
              <w:pStyle w:val="ListBullet"/>
            </w:pPr>
            <w:r w:rsidRPr="00FF2FA9">
              <w:t>table sanders</w:t>
            </w:r>
          </w:p>
          <w:p w:rsidR="00000000" w:rsidRPr="00FF2FA9" w:rsidP="00FF2FA9">
            <w:pPr>
              <w:pStyle w:val="ListBullet"/>
            </w:pPr>
            <w:r w:rsidRPr="00FF2FA9">
              <w:t>table routers</w:t>
            </w:r>
          </w:p>
          <w:p w:rsidR="00000000" w:rsidRPr="00FF2FA9" w:rsidP="00FF2FA9">
            <w:pPr>
              <w:pStyle w:val="ListBullet"/>
            </w:pPr>
            <w:r w:rsidRPr="00FF2FA9">
              <w:t>thickness</w:t>
            </w:r>
            <w:r w:rsidRPr="00FF2FA9">
              <w:t>ers</w:t>
            </w:r>
          </w:p>
          <w:p w:rsidR="00000000" w:rsidRPr="00FF2FA9" w:rsidP="00FF2FA9">
            <w:pPr>
              <w:pStyle w:val="ListBullet"/>
            </w:pPr>
            <w:r w:rsidRPr="00FF2FA9">
              <w:t>travelling beam saws</w:t>
            </w:r>
          </w:p>
          <w:p w:rsidR="00000000" w:rsidRPr="00FF2FA9" w:rsidP="00FF2FA9">
            <w:pPr>
              <w:pStyle w:val="ListBullet"/>
            </w:pPr>
            <w:r w:rsidRPr="00FF2FA9">
              <w:t>vertical and horizontal drills.</w:t>
            </w:r>
          </w:p>
          <w:p w:rsidR="00000000" w:rsidP="00FF2FA9">
            <w:pPr>
              <w:pStyle w:val="BodyText"/>
              <w:rPr>
                <w:lang w:val="en-NZ"/>
              </w:rPr>
            </w:pPr>
          </w:p>
        </w:tc>
      </w:tr>
      <w:tr w:rsidTr="00FF2FA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rPr>
                <w:rStyle w:val="BoldandItalics"/>
              </w:rPr>
              <w:t>Materials</w:t>
            </w:r>
            <w:r w:rsidRPr="00FF2FA9">
              <w:t xml:space="preserve"> must include three or more of the following: </w:t>
            </w:r>
          </w:p>
        </w:tc>
        <w:tc>
          <w:tcPr>
            <w:tcW w:w="6708" w:type="dxa"/>
            <w:tcBorders>
              <w:top w:val="nil"/>
              <w:left w:val="nil"/>
              <w:bottom w:val="nil"/>
              <w:right w:val="nil"/>
            </w:tcBorders>
            <w:tcMar>
              <w:top w:w="0" w:type="dxa"/>
              <w:left w:w="62" w:type="dxa"/>
              <w:bottom w:w="0" w:type="dxa"/>
              <w:right w:w="62" w:type="dxa"/>
            </w:tcMar>
          </w:tcPr>
          <w:p w:rsidR="00000000" w:rsidRPr="00FF2FA9" w:rsidP="00FF2FA9">
            <w:pPr>
              <w:pStyle w:val="ListBullet"/>
            </w:pPr>
            <w:r w:rsidRPr="00FF2FA9">
              <w:t>acrylic or similar materials</w:t>
            </w:r>
          </w:p>
          <w:p w:rsidR="00000000" w:rsidRPr="00FF2FA9" w:rsidP="00FF2FA9">
            <w:pPr>
              <w:pStyle w:val="ListBullet"/>
            </w:pPr>
            <w:r w:rsidRPr="00FF2FA9">
              <w:t>glass or similar materials</w:t>
            </w:r>
          </w:p>
          <w:p w:rsidR="00000000" w:rsidRPr="00FF2FA9" w:rsidP="00FF2FA9">
            <w:pPr>
              <w:pStyle w:val="ListBullet"/>
            </w:pPr>
            <w:r w:rsidRPr="00FF2FA9">
              <w:t>manufactured board</w:t>
            </w:r>
          </w:p>
          <w:p w:rsidR="00000000" w:rsidRPr="00FF2FA9" w:rsidP="00FF2FA9">
            <w:pPr>
              <w:pStyle w:val="ListBullet"/>
            </w:pPr>
            <w:r w:rsidRPr="00FF2FA9">
              <w:t>metal or similar materials</w:t>
            </w:r>
          </w:p>
          <w:p w:rsidR="00000000" w:rsidRPr="00FF2FA9" w:rsidP="00FF2FA9">
            <w:pPr>
              <w:pStyle w:val="ListBullet"/>
            </w:pPr>
            <w:r w:rsidRPr="00FF2FA9">
              <w:t>natural or manufactured stone</w:t>
            </w:r>
          </w:p>
          <w:p w:rsidR="00000000" w:rsidRPr="00FF2FA9" w:rsidP="00FF2FA9">
            <w:pPr>
              <w:pStyle w:val="ListBullet"/>
            </w:pPr>
            <w:r w:rsidRPr="00FF2FA9">
              <w:t>solid surfaces</w:t>
            </w:r>
          </w:p>
          <w:p w:rsidR="00000000" w:rsidRPr="00FF2FA9" w:rsidP="00FF2FA9">
            <w:pPr>
              <w:pStyle w:val="ListBullet"/>
            </w:pPr>
            <w:r w:rsidRPr="00FF2FA9">
              <w:t>timber or similar materials.</w:t>
            </w:r>
          </w:p>
          <w:p w:rsidR="00000000" w:rsidP="00FF2FA9">
            <w:pPr>
              <w:pStyle w:val="BodyText"/>
              <w:rPr>
                <w:lang w:val="en-NZ"/>
              </w:rPr>
            </w:pPr>
          </w:p>
        </w:tc>
      </w:tr>
      <w:tr w:rsidTr="00FF2FA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F2FA9">
            <w:pPr>
              <w:pStyle w:val="BodyText"/>
              <w:rPr>
                <w:lang w:val="en-NZ"/>
              </w:rPr>
            </w:pPr>
            <w:r w:rsidRPr="00FF2FA9">
              <w:rPr>
                <w:rStyle w:val="BoldandItalics"/>
              </w:rPr>
              <w:t xml:space="preserve">Components </w:t>
            </w:r>
            <w:r w:rsidRPr="00FF2FA9">
              <w:t>must include:</w:t>
            </w:r>
          </w:p>
        </w:tc>
        <w:tc>
          <w:tcPr>
            <w:tcW w:w="6708" w:type="dxa"/>
            <w:tcBorders>
              <w:top w:val="nil"/>
              <w:left w:val="nil"/>
              <w:bottom w:val="nil"/>
              <w:right w:val="nil"/>
            </w:tcBorders>
            <w:tcMar>
              <w:top w:w="0" w:type="dxa"/>
              <w:left w:w="62" w:type="dxa"/>
              <w:bottom w:w="0" w:type="dxa"/>
              <w:right w:w="62" w:type="dxa"/>
            </w:tcMar>
          </w:tcPr>
          <w:p w:rsidR="00000000" w:rsidRPr="00FF2FA9" w:rsidP="00FF2FA9">
            <w:pPr>
              <w:pStyle w:val="ListBullet"/>
            </w:pPr>
            <w:r w:rsidRPr="00FF2FA9">
              <w:t>carcases</w:t>
            </w:r>
          </w:p>
          <w:p w:rsidR="00000000" w:rsidRPr="00FF2FA9" w:rsidP="00FF2FA9">
            <w:pPr>
              <w:pStyle w:val="ListBullet"/>
            </w:pPr>
            <w:r w:rsidRPr="00FF2FA9">
              <w:t>benches or counter tops</w:t>
            </w:r>
          </w:p>
          <w:p w:rsidR="00000000" w:rsidRPr="00FF2FA9" w:rsidP="00FF2FA9">
            <w:pPr>
              <w:pStyle w:val="ListBullet"/>
            </w:pPr>
            <w:r w:rsidRPr="00FF2FA9">
              <w:t>drawers</w:t>
            </w:r>
          </w:p>
          <w:p w:rsidR="00000000" w:rsidRPr="00FF2FA9" w:rsidP="00FF2FA9">
            <w:pPr>
              <w:pStyle w:val="ListBullet"/>
            </w:pPr>
            <w:r w:rsidRPr="00FF2FA9">
              <w:t>doors.</w:t>
            </w:r>
          </w:p>
          <w:p w:rsidR="00000000" w:rsidRPr="00FF2FA9" w:rsidP="00FF2FA9">
            <w:pPr>
              <w:pStyle w:val="BodyText"/>
            </w:pPr>
          </w:p>
        </w:tc>
      </w:tr>
    </w:tbl>
    <w:p w:rsidR="00000000" w:rsidRPr="00FF2FA9" w:rsidP="00FF2FA9">
      <w:pPr>
        <w:pStyle w:val="BodyText"/>
      </w:pPr>
    </w:p>
    <w:p w:rsidR="00000000" w:rsidRPr="00FF2FA9" w:rsidP="00FF2FA9">
      <w:pPr>
        <w:pStyle w:val="AllowPageBreak"/>
      </w:pPr>
    </w:p>
    <w:p w:rsidR="00000000" w:rsidRPr="00FF2FA9" w:rsidP="00FF2FA9">
      <w:pPr>
        <w:pStyle w:val="Heading1"/>
      </w:pPr>
      <w:bookmarkStart w:id="9" w:name="O_831303"/>
      <w:bookmarkEnd w:id="9"/>
      <w:r w:rsidRPr="00FF2FA9">
        <w:t>Unit Mapping Information</w:t>
      </w:r>
    </w:p>
    <w:p w:rsidR="00000000" w:rsidRPr="00FF2FA9" w:rsidP="006E181D">
      <w:pPr>
        <w:pStyle w:val="BodyText"/>
      </w:pPr>
      <w:r w:rsidRPr="00FF2FA9">
        <w:t>CPCCJN3001A Use static machines</w:t>
      </w:r>
    </w:p>
    <w:p w:rsidR="00000000" w:rsidRPr="00FF2FA9" w:rsidP="00FF2FA9">
      <w:pPr>
        <w:pStyle w:val="Heading1"/>
      </w:pPr>
      <w:bookmarkStart w:id="10" w:name="O_831296"/>
      <w:bookmarkEnd w:id="10"/>
      <w:r w:rsidRPr="00FF2FA9">
        <w:t>Links</w:t>
      </w:r>
    </w:p>
    <w:p w:rsidR="00000000" w:rsidRPr="00FF2FA9" w:rsidP="006E181D">
      <w:pPr>
        <w:pStyle w:val="BodyText"/>
      </w:pPr>
      <w:r w:rsidRPr="00FF2FA9">
        <w:t xml:space="preserve">Companion Volume implementation guides are found in VETNet - </w:t>
      </w:r>
      <w:r>
        <w:fldChar w:fldCharType="begin"/>
      </w:r>
      <w:r>
        <w:instrText xml:space="preserve"> HYPERLINK "https://vetnet.education.gov.au/Pages/TrainingDocs.aspx?q=7e15fa6a-68b8-4097-b099-030a5569b1ad" </w:instrText>
      </w:r>
      <w:r>
        <w:fldChar w:fldCharType="separate"/>
      </w:r>
      <w:r w:rsidRPr="00C754C3">
        <w:rPr>
          <w:rStyle w:val="Hyperlink"/>
        </w:rPr>
        <w:t>https://vetnet.education.gov.au/Pages/TrainingDocs.aspx?q=7e15fa6a-68b8-4097-b099-030a5569b1ad</w:t>
      </w:r>
      <w:r>
        <w:fldChar w:fldCharType="end"/>
      </w:r>
    </w:p>
    <w:p w:rsidR="00000000" w:rsidRPr="00FF2FA9" w:rsidP="00FF2FA9"/>
    <w:sectPr w:rsidSect="00FF2F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F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FA9" w:rsidRPr="006E181D" w:rsidP="006E18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F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81D" w:rsidP="00FF2F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E181D" w:rsidP="00FF2FA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Artibus Innovation</w:t>
    </w:r>
    <w:r>
      <w:fldChar w:fldCharType="end"/>
    </w:r>
  </w:p>
  <w:p w:rsidR="006E181D" w:rsidP="00FF2F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F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8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2FA9" w:rsidRPr="006E181D" w:rsidP="006E18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F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81D" w:rsidRPr="002D2AF8" w:rsidP="00FF2FA9">
    <w:pPr>
      <w:pStyle w:val="Header"/>
      <w:framePr w:wrap="around"/>
    </w:pPr>
    <w:r>
      <w:fldChar w:fldCharType="begin"/>
    </w:r>
    <w:r>
      <w:instrText xml:space="preserve"> TITLE   \* MERGEFORMAT </w:instrText>
    </w:r>
    <w:r>
      <w:fldChar w:fldCharType="separate"/>
    </w:r>
    <w:r>
      <w:t>CPCCJN3001 Process materials to produce components using static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2019</w:t>
    </w:r>
    <w:r>
      <w:fldChar w:fldCharType="end"/>
    </w:r>
  </w:p>
  <w:p w:rsidR="006E181D" w:rsidP="00FF2F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548B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7213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A4D5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F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2FA9"/>
    <w:pPr>
      <w:spacing w:before="360" w:after="60"/>
      <w:outlineLvl w:val="0"/>
    </w:pPr>
    <w:rPr>
      <w:sz w:val="32"/>
    </w:rPr>
  </w:style>
  <w:style w:type="paragraph" w:styleId="Heading2">
    <w:name w:val="heading 2"/>
    <w:basedOn w:val="HeadingBase"/>
    <w:next w:val="BodyText"/>
    <w:link w:val="Heading2Char"/>
    <w:qFormat/>
    <w:rsid w:val="00FF2FA9"/>
    <w:pPr>
      <w:keepLines/>
      <w:spacing w:before="240" w:after="120"/>
      <w:outlineLvl w:val="1"/>
    </w:pPr>
    <w:rPr>
      <w:sz w:val="28"/>
      <w:szCs w:val="40"/>
    </w:rPr>
  </w:style>
  <w:style w:type="paragraph" w:styleId="Heading3">
    <w:name w:val="heading 3"/>
    <w:basedOn w:val="HeadingBase"/>
    <w:next w:val="BodyText"/>
    <w:link w:val="Heading3Char"/>
    <w:qFormat/>
    <w:rsid w:val="00FF2FA9"/>
    <w:pPr>
      <w:spacing w:before="180" w:after="120"/>
      <w:outlineLvl w:val="2"/>
    </w:pPr>
    <w:rPr>
      <w:spacing w:val="-10"/>
      <w:kern w:val="32"/>
    </w:rPr>
  </w:style>
  <w:style w:type="paragraph" w:styleId="Heading4">
    <w:name w:val="heading 4"/>
    <w:basedOn w:val="HeadingBase"/>
    <w:next w:val="BodyText"/>
    <w:link w:val="Heading4Char"/>
    <w:qFormat/>
    <w:rsid w:val="00FF2FA9"/>
    <w:pPr>
      <w:spacing w:before="160" w:after="120"/>
      <w:outlineLvl w:val="3"/>
    </w:pPr>
    <w:rPr>
      <w:sz w:val="22"/>
    </w:rPr>
  </w:style>
  <w:style w:type="paragraph" w:styleId="Heading5">
    <w:name w:val="heading 5"/>
    <w:basedOn w:val="HeadingBase"/>
    <w:next w:val="Normal"/>
    <w:link w:val="Heading5Char"/>
    <w:qFormat/>
    <w:rsid w:val="00FF2FA9"/>
    <w:pPr>
      <w:spacing w:before="80"/>
      <w:outlineLvl w:val="4"/>
    </w:pPr>
    <w:rPr>
      <w:color w:val="918585"/>
      <w:sz w:val="20"/>
    </w:rPr>
  </w:style>
  <w:style w:type="paragraph" w:styleId="Heading6">
    <w:name w:val="heading 6"/>
    <w:basedOn w:val="HeadingBase"/>
    <w:next w:val="Normal"/>
    <w:link w:val="Heading6Char"/>
    <w:qFormat/>
    <w:rsid w:val="00FF2FA9"/>
    <w:pPr>
      <w:spacing w:before="60"/>
      <w:outlineLvl w:val="5"/>
    </w:pPr>
    <w:rPr>
      <w:color w:val="918585"/>
      <w:sz w:val="20"/>
    </w:rPr>
  </w:style>
  <w:style w:type="paragraph" w:styleId="Heading7">
    <w:name w:val="heading 7"/>
    <w:basedOn w:val="Normal"/>
    <w:next w:val="Normal"/>
    <w:link w:val="Heading7Char"/>
    <w:qFormat/>
    <w:rsid w:val="00FF2FA9"/>
    <w:pPr>
      <w:ind w:left="720"/>
      <w:outlineLvl w:val="6"/>
    </w:pPr>
    <w:rPr>
      <w:i/>
    </w:rPr>
  </w:style>
  <w:style w:type="paragraph" w:styleId="Heading8">
    <w:name w:val="heading 8"/>
    <w:basedOn w:val="Normal"/>
    <w:next w:val="Normal"/>
    <w:link w:val="Heading8Char"/>
    <w:qFormat/>
    <w:rsid w:val="00FF2FA9"/>
    <w:pPr>
      <w:ind w:left="720"/>
      <w:outlineLvl w:val="7"/>
    </w:pPr>
    <w:rPr>
      <w:i/>
    </w:rPr>
  </w:style>
  <w:style w:type="paragraph" w:styleId="Heading9">
    <w:name w:val="heading 9"/>
    <w:basedOn w:val="Normal"/>
    <w:next w:val="Normal"/>
    <w:link w:val="Heading9Char"/>
    <w:qFormat/>
    <w:rsid w:val="00FF2FA9"/>
    <w:pPr>
      <w:ind w:left="720"/>
      <w:outlineLvl w:val="8"/>
    </w:pPr>
    <w:rPr>
      <w:i/>
    </w:rPr>
  </w:style>
  <w:style w:type="character" w:default="1" w:styleId="DefaultParagraphFont">
    <w:name w:val="Default Paragraph Font"/>
    <w:uiPriority w:val="1"/>
    <w:unhideWhenUsed/>
    <w:rsid w:val="00FF2F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2FA9"/>
  </w:style>
  <w:style w:type="character" w:customStyle="1" w:styleId="Heading1Char">
    <w:name w:val="Heading 1 Char"/>
    <w:basedOn w:val="DefaultParagraphFont"/>
    <w:link w:val="Heading1"/>
    <w:rsid w:val="00FF2FA9"/>
    <w:rPr>
      <w:rFonts w:ascii="Times New Roman" w:eastAsia="Times New Roman" w:hAnsi="Times New Roman" w:cs="Times New Roman"/>
      <w:b/>
      <w:sz w:val="32"/>
      <w:szCs w:val="20"/>
      <w:lang w:eastAsia="en-US"/>
    </w:rPr>
  </w:style>
  <w:style w:type="paragraph" w:styleId="BodyText">
    <w:name w:val="Body Text"/>
    <w:basedOn w:val="Normal"/>
    <w:link w:val="BodyTextChar"/>
    <w:rsid w:val="00FF2F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2FA9"/>
    <w:rPr>
      <w:rFonts w:ascii="Times New Roman" w:eastAsia="Times New Roman" w:hAnsi="Times New Roman" w:cs="Times New Roman"/>
      <w:sz w:val="24"/>
      <w:lang w:eastAsia="en-US"/>
    </w:rPr>
  </w:style>
  <w:style w:type="paragraph" w:styleId="ListBullet">
    <w:name w:val="List Bullet"/>
    <w:basedOn w:val="List"/>
    <w:rsid w:val="00FF2FA9"/>
    <w:pPr>
      <w:numPr>
        <w:numId w:val="13"/>
      </w:numPr>
      <w:tabs>
        <w:tab w:val="clear" w:pos="340"/>
      </w:tabs>
      <w:spacing w:before="40" w:after="40"/>
    </w:pPr>
  </w:style>
  <w:style w:type="character" w:customStyle="1" w:styleId="SpecialBold">
    <w:name w:val="Special Bold"/>
    <w:basedOn w:val="DefaultParagraphFont"/>
    <w:rsid w:val="00FF2FA9"/>
    <w:rPr>
      <w:b/>
      <w:spacing w:val="0"/>
    </w:rPr>
  </w:style>
  <w:style w:type="paragraph" w:styleId="ListBullet2">
    <w:name w:val="List Bullet 2"/>
    <w:basedOn w:val="List2"/>
    <w:rsid w:val="00FF2FA9"/>
    <w:pPr>
      <w:numPr>
        <w:numId w:val="14"/>
      </w:numPr>
      <w:tabs>
        <w:tab w:val="clear" w:pos="680"/>
      </w:tabs>
    </w:pPr>
  </w:style>
  <w:style w:type="paragraph" w:customStyle="1" w:styleId="SuperHeading">
    <w:name w:val="SuperHeading"/>
    <w:basedOn w:val="Normal"/>
    <w:rsid w:val="00FF2FA9"/>
    <w:pPr>
      <w:spacing w:before="240" w:after="120"/>
      <w:outlineLvl w:val="0"/>
    </w:pPr>
    <w:rPr>
      <w:rFonts w:ascii="Times New Roman" w:hAnsi="Times New Roman"/>
      <w:b/>
      <w:sz w:val="32"/>
    </w:rPr>
  </w:style>
  <w:style w:type="paragraph" w:customStyle="1" w:styleId="AllowPageBreak">
    <w:name w:val="AllowPageBreak"/>
    <w:rsid w:val="00FF2F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F2FA9"/>
    <w:rPr>
      <w:b/>
      <w:i/>
      <w:u w:val="none"/>
    </w:rPr>
  </w:style>
  <w:style w:type="character" w:customStyle="1" w:styleId="Heading2Char">
    <w:name w:val="Heading 2 Char"/>
    <w:basedOn w:val="DefaultParagraphFont"/>
    <w:link w:val="Heading2"/>
    <w:rsid w:val="00FF2F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2F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2F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2F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2F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2F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2F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2FA9"/>
    <w:rPr>
      <w:rFonts w:ascii="Courier New" w:eastAsia="Times New Roman" w:hAnsi="Courier New" w:cs="Times New Roman"/>
      <w:i/>
      <w:szCs w:val="20"/>
      <w:lang w:eastAsia="en-US"/>
    </w:rPr>
  </w:style>
  <w:style w:type="paragraph" w:customStyle="1" w:styleId="HeadingBase">
    <w:name w:val="Heading Base"/>
    <w:rsid w:val="00FF2F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2FA9"/>
    <w:pPr>
      <w:tabs>
        <w:tab w:val="right" w:leader="dot" w:pos="9072"/>
      </w:tabs>
      <w:ind w:left="567"/>
    </w:pPr>
    <w:rPr>
      <w:szCs w:val="22"/>
    </w:rPr>
  </w:style>
  <w:style w:type="paragraph" w:customStyle="1" w:styleId="TOCBase">
    <w:name w:val="TOC Base"/>
    <w:rsid w:val="00FF2F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2FA9"/>
    <w:pPr>
      <w:tabs>
        <w:tab w:val="right" w:leader="dot" w:pos="9072"/>
      </w:tabs>
      <w:spacing w:before="40" w:after="40"/>
      <w:ind w:left="284"/>
    </w:pPr>
    <w:rPr>
      <w:rFonts w:ascii="Times New Roman" w:hAnsi="Times New Roman"/>
    </w:rPr>
  </w:style>
  <w:style w:type="paragraph" w:styleId="TOC1">
    <w:name w:val="toc 1"/>
    <w:basedOn w:val="TOCBase"/>
    <w:next w:val="Normal"/>
    <w:rsid w:val="00FF2F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2F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2FA9"/>
    <w:rPr>
      <w:rFonts w:ascii="Times New Roman" w:eastAsia="Times New Roman" w:hAnsi="Times New Roman" w:cs="Times New Roman"/>
      <w:sz w:val="16"/>
      <w:lang w:eastAsia="en-US"/>
    </w:rPr>
  </w:style>
  <w:style w:type="paragraph" w:styleId="Title">
    <w:name w:val="Title"/>
    <w:basedOn w:val="HeadingBase"/>
    <w:link w:val="TitleChar"/>
    <w:qFormat/>
    <w:rsid w:val="00FF2FA9"/>
    <w:pPr>
      <w:spacing w:before="5040"/>
      <w:jc w:val="center"/>
    </w:pPr>
    <w:rPr>
      <w:sz w:val="48"/>
      <w:szCs w:val="72"/>
      <w:lang w:val="en-US"/>
    </w:rPr>
  </w:style>
  <w:style w:type="character" w:customStyle="1" w:styleId="TitleChar">
    <w:name w:val="Title Char"/>
    <w:basedOn w:val="DefaultParagraphFont"/>
    <w:link w:val="Title"/>
    <w:rsid w:val="00FF2F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2FA9"/>
    <w:pPr>
      <w:tabs>
        <w:tab w:val="left" w:pos="3600"/>
        <w:tab w:val="left" w:pos="3958"/>
      </w:tabs>
    </w:pPr>
  </w:style>
  <w:style w:type="paragraph" w:styleId="List">
    <w:name w:val="List"/>
    <w:basedOn w:val="BodyText"/>
    <w:next w:val="BodyText"/>
    <w:rsid w:val="00FF2FA9"/>
    <w:pPr>
      <w:tabs>
        <w:tab w:val="left" w:pos="340"/>
      </w:tabs>
      <w:spacing w:before="60" w:after="60"/>
      <w:ind w:left="340" w:hanging="340"/>
    </w:pPr>
  </w:style>
  <w:style w:type="paragraph" w:customStyle="1" w:styleId="Note">
    <w:name w:val="Note"/>
    <w:basedOn w:val="BodyText"/>
    <w:rsid w:val="00FF2F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2FA9"/>
    <w:pPr>
      <w:framePr w:wrap="auto" w:hAnchor="text" w:y="6049"/>
    </w:pPr>
    <w:rPr>
      <w:color w:val="000000"/>
      <w:sz w:val="40"/>
    </w:rPr>
  </w:style>
  <w:style w:type="paragraph" w:customStyle="1" w:styleId="TOCTitle">
    <w:name w:val="TOCTitle"/>
    <w:basedOn w:val="Heading1"/>
    <w:rsid w:val="00FF2FA9"/>
    <w:pPr>
      <w:spacing w:after="240"/>
      <w:jc w:val="center"/>
      <w:outlineLvl w:val="9"/>
    </w:pPr>
    <w:rPr>
      <w:caps/>
    </w:rPr>
  </w:style>
  <w:style w:type="paragraph" w:customStyle="1" w:styleId="Version">
    <w:name w:val="Version"/>
    <w:rsid w:val="00FF2F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2FA9"/>
    <w:pPr>
      <w:keepNext w:val="0"/>
      <w:tabs>
        <w:tab w:val="right" w:pos="4176"/>
      </w:tabs>
      <w:ind w:left="198" w:hanging="198"/>
    </w:pPr>
    <w:rPr>
      <w:rFonts w:ascii="Garamond" w:hAnsi="Garamond"/>
    </w:rPr>
  </w:style>
  <w:style w:type="paragraph" w:styleId="IndexHeading">
    <w:name w:val="index heading"/>
    <w:basedOn w:val="Normal"/>
    <w:next w:val="Index1"/>
    <w:semiHidden/>
    <w:rsid w:val="00FF2FA9"/>
    <w:pPr>
      <w:spacing w:before="120" w:after="120"/>
    </w:pPr>
    <w:rPr>
      <w:rFonts w:ascii="Arial" w:hAnsi="Arial"/>
      <w:b/>
      <w:color w:val="918585"/>
      <w:sz w:val="24"/>
    </w:rPr>
  </w:style>
  <w:style w:type="paragraph" w:styleId="Header">
    <w:name w:val="header"/>
    <w:basedOn w:val="Normal"/>
    <w:link w:val="HeaderChar"/>
    <w:rsid w:val="00FF2F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2FA9"/>
    <w:rPr>
      <w:rFonts w:ascii="Times New Roman" w:eastAsia="Times New Roman" w:hAnsi="Times New Roman" w:cs="Times New Roman"/>
      <w:sz w:val="16"/>
      <w:szCs w:val="20"/>
      <w:lang w:val="en-GB" w:eastAsia="en-US"/>
    </w:rPr>
  </w:style>
  <w:style w:type="paragraph" w:customStyle="1" w:styleId="Chapter">
    <w:name w:val="Chapter"/>
    <w:basedOn w:val="Normal"/>
    <w:rsid w:val="00FF2FA9"/>
    <w:pPr>
      <w:spacing w:before="240"/>
    </w:pPr>
    <w:rPr>
      <w:rFonts w:ascii="Times New Roman" w:hAnsi="Times New Roman"/>
      <w:smallCaps/>
      <w:spacing w:val="80"/>
      <w:sz w:val="28"/>
    </w:rPr>
  </w:style>
  <w:style w:type="paragraph" w:customStyle="1" w:styleId="InChapter">
    <w:name w:val="InChapter"/>
    <w:basedOn w:val="Heading3"/>
    <w:rsid w:val="00FF2FA9"/>
    <w:pPr>
      <w:spacing w:after="240"/>
      <w:outlineLvl w:val="9"/>
    </w:pPr>
    <w:rPr>
      <w:noProof/>
    </w:rPr>
  </w:style>
  <w:style w:type="paragraph" w:styleId="Index2">
    <w:name w:val="index 2"/>
    <w:basedOn w:val="Normal"/>
    <w:next w:val="Normal"/>
    <w:semiHidden/>
    <w:rsid w:val="00FF2FA9"/>
    <w:pPr>
      <w:tabs>
        <w:tab w:val="right" w:pos="4176"/>
      </w:tabs>
      <w:ind w:left="568" w:hanging="284"/>
    </w:pPr>
    <w:rPr>
      <w:rFonts w:ascii="Garamond" w:hAnsi="Garamond"/>
    </w:rPr>
  </w:style>
  <w:style w:type="paragraph" w:customStyle="1" w:styleId="Byline">
    <w:name w:val="Byline"/>
    <w:rsid w:val="00FF2F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2FA9"/>
    <w:pPr>
      <w:tabs>
        <w:tab w:val="clear" w:pos="3600"/>
        <w:tab w:val="clear" w:pos="3958"/>
      </w:tabs>
      <w:jc w:val="right"/>
    </w:pPr>
  </w:style>
  <w:style w:type="character" w:styleId="Emphasis">
    <w:name w:val="Emphasis"/>
    <w:basedOn w:val="DefaultParagraphFont"/>
    <w:qFormat/>
    <w:rsid w:val="00FF2FA9"/>
    <w:rPr>
      <w:i/>
    </w:rPr>
  </w:style>
  <w:style w:type="paragraph" w:styleId="Caption">
    <w:name w:val="caption"/>
    <w:basedOn w:val="BodyText"/>
    <w:next w:val="Normal"/>
    <w:qFormat/>
    <w:rsid w:val="00FF2FA9"/>
    <w:pPr>
      <w:framePr w:w="2268" w:hSpace="181" w:vSpace="181" w:wrap="around" w:vAnchor="text" w:hAnchor="page" w:x="1135" w:y="285" w:anchorLock="1"/>
    </w:pPr>
    <w:rPr>
      <w:i/>
    </w:rPr>
  </w:style>
  <w:style w:type="paragraph" w:customStyle="1" w:styleId="MiniTOCTitle">
    <w:name w:val="MiniTOCTitle"/>
    <w:basedOn w:val="Heading4"/>
    <w:rsid w:val="00FF2FA9"/>
    <w:pPr>
      <w:spacing w:before="240"/>
      <w:outlineLvl w:val="9"/>
    </w:pPr>
    <w:rPr>
      <w:noProof/>
      <w:sz w:val="24"/>
    </w:rPr>
  </w:style>
  <w:style w:type="paragraph" w:customStyle="1" w:styleId="MiniTOCItem">
    <w:name w:val="MiniTOCItem"/>
    <w:basedOn w:val="ListBullet"/>
    <w:rsid w:val="00FF2FA9"/>
    <w:pPr>
      <w:numPr>
        <w:numId w:val="0"/>
      </w:numPr>
      <w:tabs>
        <w:tab w:val="right" w:leader="dot" w:pos="6521"/>
      </w:tabs>
      <w:spacing w:before="0" w:after="0"/>
    </w:pPr>
  </w:style>
  <w:style w:type="paragraph" w:customStyle="1" w:styleId="TOFTitle">
    <w:name w:val="TOFTitle"/>
    <w:basedOn w:val="TOCTitle"/>
    <w:rsid w:val="00FF2FA9"/>
  </w:style>
  <w:style w:type="paragraph" w:styleId="TableofFigures">
    <w:name w:val="table of figures"/>
    <w:basedOn w:val="Normal"/>
    <w:next w:val="Normal"/>
    <w:semiHidden/>
    <w:rsid w:val="00FF2FA9"/>
    <w:pPr>
      <w:tabs>
        <w:tab w:val="right" w:leader="dot" w:pos="9072"/>
      </w:tabs>
      <w:ind w:left="970" w:hanging="403"/>
    </w:pPr>
    <w:rPr>
      <w:rFonts w:ascii="Times New Roman" w:hAnsi="Times New Roman"/>
      <w:b/>
    </w:rPr>
  </w:style>
  <w:style w:type="paragraph" w:styleId="ListNumber">
    <w:name w:val="List Number"/>
    <w:basedOn w:val="List"/>
    <w:rsid w:val="00FF2FA9"/>
    <w:pPr>
      <w:numPr>
        <w:numId w:val="11"/>
      </w:numPr>
    </w:pPr>
  </w:style>
  <w:style w:type="character" w:customStyle="1" w:styleId="WingdingSymbols">
    <w:name w:val="Wingding Symbols"/>
    <w:rsid w:val="00FF2FA9"/>
    <w:rPr>
      <w:rFonts w:ascii="Wingdings" w:hAnsi="Wingdings"/>
    </w:rPr>
  </w:style>
  <w:style w:type="paragraph" w:customStyle="1" w:styleId="TableHeading">
    <w:name w:val="Table Heading"/>
    <w:basedOn w:val="HeadingBase"/>
    <w:rsid w:val="00FF2FA9"/>
    <w:pPr>
      <w:keepLines/>
      <w:pBdr>
        <w:bottom w:val="single" w:sz="6" w:space="1" w:color="918585"/>
      </w:pBdr>
      <w:spacing w:before="240"/>
    </w:pPr>
  </w:style>
  <w:style w:type="character" w:customStyle="1" w:styleId="HotSpot">
    <w:name w:val="HotSpot"/>
    <w:rsid w:val="00FF2FA9"/>
    <w:rPr>
      <w:color w:val="0033CC"/>
      <w:u w:val="none"/>
    </w:rPr>
  </w:style>
  <w:style w:type="paragraph" w:customStyle="1" w:styleId="BodyTextRight">
    <w:name w:val="Body Text Right"/>
    <w:basedOn w:val="BodyText"/>
    <w:rsid w:val="00FF2FA9"/>
    <w:pPr>
      <w:spacing w:before="0" w:after="0"/>
      <w:jc w:val="right"/>
    </w:pPr>
  </w:style>
  <w:style w:type="paragraph" w:styleId="Index3">
    <w:name w:val="index 3"/>
    <w:basedOn w:val="ListNumber2"/>
    <w:next w:val="Normal"/>
    <w:semiHidden/>
    <w:rsid w:val="00FF2FA9"/>
    <w:pPr>
      <w:numPr>
        <w:numId w:val="0"/>
      </w:numPr>
      <w:tabs>
        <w:tab w:val="right" w:leader="dot" w:pos="4176"/>
      </w:tabs>
    </w:pPr>
  </w:style>
  <w:style w:type="paragraph" w:styleId="ListNumber2">
    <w:name w:val="List Number 2"/>
    <w:basedOn w:val="List2"/>
    <w:rsid w:val="00FF2FA9"/>
    <w:pPr>
      <w:numPr>
        <w:numId w:val="10"/>
      </w:numPr>
      <w:tabs>
        <w:tab w:val="clear" w:pos="1060"/>
      </w:tabs>
    </w:pPr>
  </w:style>
  <w:style w:type="paragraph" w:customStyle="1" w:styleId="MarginNote">
    <w:name w:val="Margin Note"/>
    <w:basedOn w:val="BodyText"/>
    <w:rsid w:val="00FF2F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2F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2F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2FA9"/>
    <w:rPr>
      <w:sz w:val="32"/>
    </w:rPr>
  </w:style>
  <w:style w:type="paragraph" w:customStyle="1" w:styleId="HeadingProcedure">
    <w:name w:val="Heading Procedure"/>
    <w:basedOn w:val="HeadingBase"/>
    <w:next w:val="Normal"/>
    <w:rsid w:val="00FF2FA9"/>
    <w:pPr>
      <w:tabs>
        <w:tab w:val="left" w:pos="0"/>
      </w:tabs>
      <w:spacing w:before="120" w:after="60"/>
    </w:pPr>
    <w:rPr>
      <w:i/>
      <w:color w:val="918585"/>
      <w:sz w:val="22"/>
    </w:rPr>
  </w:style>
  <w:style w:type="paragraph" w:customStyle="1" w:styleId="TableBodyText">
    <w:name w:val="Table Body Text"/>
    <w:basedOn w:val="BodyText"/>
    <w:rsid w:val="00FF2FA9"/>
    <w:pPr>
      <w:spacing w:before="60" w:after="60"/>
    </w:pPr>
  </w:style>
  <w:style w:type="paragraph" w:styleId="ListContinue">
    <w:name w:val="List Continue"/>
    <w:basedOn w:val="List"/>
    <w:rsid w:val="00FF2FA9"/>
    <w:pPr>
      <w:ind w:firstLine="0"/>
    </w:pPr>
  </w:style>
  <w:style w:type="paragraph" w:customStyle="1" w:styleId="ListNote">
    <w:name w:val="List Note"/>
    <w:basedOn w:val="List"/>
    <w:rsid w:val="00FF2FA9"/>
    <w:pPr>
      <w:pBdr>
        <w:top w:val="single" w:sz="6" w:space="2" w:color="918585"/>
        <w:bottom w:val="single" w:sz="6" w:space="2" w:color="918585"/>
      </w:pBdr>
      <w:tabs>
        <w:tab w:val="left" w:pos="1021"/>
      </w:tabs>
      <w:ind w:firstLine="0"/>
    </w:pPr>
  </w:style>
  <w:style w:type="paragraph" w:customStyle="1" w:styleId="Warning">
    <w:name w:val="Warning"/>
    <w:basedOn w:val="BodyText"/>
    <w:rsid w:val="00FF2FA9"/>
    <w:pPr>
      <w:shd w:val="clear" w:color="auto" w:fill="D9D9D9"/>
      <w:tabs>
        <w:tab w:val="left" w:pos="992"/>
      </w:tabs>
      <w:ind w:left="119" w:right="119"/>
    </w:pPr>
    <w:rPr>
      <w:sz w:val="20"/>
    </w:rPr>
  </w:style>
  <w:style w:type="paragraph" w:customStyle="1" w:styleId="MarginIcons">
    <w:name w:val="Margin Icons"/>
    <w:basedOn w:val="BodyText"/>
    <w:rsid w:val="00FF2F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2FA9"/>
    <w:rPr>
      <w:rFonts w:ascii="Courier New" w:hAnsi="Courier New"/>
    </w:rPr>
  </w:style>
  <w:style w:type="paragraph" w:customStyle="1" w:styleId="NoteBullet">
    <w:name w:val="Note Bullet"/>
    <w:basedOn w:val="Note"/>
    <w:rsid w:val="00FF2FA9"/>
    <w:pPr>
      <w:tabs>
        <w:tab w:val="clear" w:pos="680"/>
      </w:tabs>
      <w:spacing w:before="60" w:after="60"/>
    </w:pPr>
  </w:style>
  <w:style w:type="paragraph" w:customStyle="1" w:styleId="SubHeading2">
    <w:name w:val="SubHeading2"/>
    <w:basedOn w:val="HeadingBase"/>
    <w:rsid w:val="00FF2FA9"/>
    <w:pPr>
      <w:spacing w:before="240" w:after="60"/>
    </w:pPr>
    <w:rPr>
      <w:sz w:val="20"/>
    </w:rPr>
  </w:style>
  <w:style w:type="paragraph" w:customStyle="1" w:styleId="SubHeading1">
    <w:name w:val="SubHeading1"/>
    <w:basedOn w:val="HeadingBase"/>
    <w:rsid w:val="00FF2FA9"/>
    <w:pPr>
      <w:spacing w:before="240" w:after="60"/>
    </w:pPr>
    <w:rPr>
      <w:color w:val="918585"/>
      <w:sz w:val="22"/>
    </w:rPr>
  </w:style>
  <w:style w:type="paragraph" w:customStyle="1" w:styleId="SideHeading">
    <w:name w:val="Side Heading"/>
    <w:basedOn w:val="HeadingBase"/>
    <w:rsid w:val="00FF2F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2FA9"/>
    <w:pPr>
      <w:numPr>
        <w:numId w:val="12"/>
      </w:numPr>
    </w:pPr>
  </w:style>
  <w:style w:type="paragraph" w:styleId="PlainText">
    <w:name w:val="Plain Text"/>
    <w:basedOn w:val="Normal"/>
    <w:link w:val="PlainTextChar"/>
    <w:rsid w:val="00FF2FA9"/>
    <w:rPr>
      <w:sz w:val="20"/>
    </w:rPr>
  </w:style>
  <w:style w:type="character" w:customStyle="1" w:styleId="PlainTextChar">
    <w:name w:val="Plain Text Char"/>
    <w:basedOn w:val="DefaultParagraphFont"/>
    <w:link w:val="PlainText"/>
    <w:rsid w:val="00FF2FA9"/>
    <w:rPr>
      <w:rFonts w:ascii="Courier New" w:eastAsia="Times New Roman" w:hAnsi="Courier New" w:cs="Times New Roman"/>
      <w:sz w:val="20"/>
      <w:szCs w:val="20"/>
      <w:lang w:eastAsia="en-US"/>
    </w:rPr>
  </w:style>
  <w:style w:type="character" w:customStyle="1" w:styleId="MenuOption">
    <w:name w:val="Menu Option"/>
    <w:basedOn w:val="DefaultParagraphFont"/>
    <w:rsid w:val="00FF2FA9"/>
    <w:rPr>
      <w:b/>
      <w:smallCaps/>
    </w:rPr>
  </w:style>
  <w:style w:type="paragraph" w:customStyle="1" w:styleId="TableListNumber">
    <w:name w:val="Table List Number"/>
    <w:basedOn w:val="ListNumber"/>
    <w:rsid w:val="00FF2FA9"/>
    <w:pPr>
      <w:numPr>
        <w:numId w:val="0"/>
      </w:numPr>
    </w:pPr>
  </w:style>
  <w:style w:type="paragraph" w:styleId="TOC4">
    <w:name w:val="toc 4"/>
    <w:basedOn w:val="TOCBase"/>
    <w:next w:val="Normal"/>
    <w:semiHidden/>
    <w:rsid w:val="00FF2FA9"/>
    <w:pPr>
      <w:tabs>
        <w:tab w:val="right" w:leader="dot" w:pos="9071"/>
      </w:tabs>
      <w:ind w:left="1701"/>
    </w:pPr>
  </w:style>
  <w:style w:type="paragraph" w:customStyle="1" w:styleId="ListAlpha">
    <w:name w:val="List Alpha"/>
    <w:basedOn w:val="List"/>
    <w:rsid w:val="00FF2FA9"/>
    <w:pPr>
      <w:numPr>
        <w:numId w:val="9"/>
      </w:numPr>
    </w:pPr>
  </w:style>
  <w:style w:type="paragraph" w:customStyle="1" w:styleId="ListAlpha2">
    <w:name w:val="List Alpha 2"/>
    <w:basedOn w:val="List2"/>
    <w:rsid w:val="00FF2FA9"/>
    <w:pPr>
      <w:numPr>
        <w:numId w:val="8"/>
      </w:numPr>
    </w:pPr>
  </w:style>
  <w:style w:type="paragraph" w:styleId="List2">
    <w:name w:val="List 2"/>
    <w:basedOn w:val="BodyText"/>
    <w:rsid w:val="00FF2FA9"/>
    <w:pPr>
      <w:tabs>
        <w:tab w:val="left" w:pos="680"/>
      </w:tabs>
      <w:spacing w:before="60" w:after="60"/>
      <w:ind w:left="680" w:hanging="340"/>
    </w:pPr>
  </w:style>
  <w:style w:type="paragraph" w:styleId="List3">
    <w:name w:val="List 3"/>
    <w:basedOn w:val="BodyText"/>
    <w:rsid w:val="00FF2FA9"/>
    <w:pPr>
      <w:tabs>
        <w:tab w:val="left" w:pos="1021"/>
      </w:tabs>
      <w:spacing w:before="60" w:after="60"/>
      <w:ind w:left="1020" w:hanging="340"/>
    </w:pPr>
  </w:style>
  <w:style w:type="paragraph" w:styleId="List4">
    <w:name w:val="List 4"/>
    <w:basedOn w:val="BodyText"/>
    <w:rsid w:val="00FF2FA9"/>
    <w:pPr>
      <w:tabs>
        <w:tab w:val="left" w:pos="1361"/>
      </w:tabs>
      <w:spacing w:before="60" w:after="60"/>
      <w:ind w:left="1361" w:hanging="340"/>
    </w:pPr>
  </w:style>
  <w:style w:type="paragraph" w:styleId="List5">
    <w:name w:val="List 5"/>
    <w:basedOn w:val="BodyText"/>
    <w:rsid w:val="00FF2FA9"/>
    <w:pPr>
      <w:tabs>
        <w:tab w:val="left" w:pos="1701"/>
      </w:tabs>
      <w:spacing w:before="60" w:after="60"/>
      <w:ind w:left="1701" w:hanging="340"/>
    </w:pPr>
  </w:style>
  <w:style w:type="paragraph" w:styleId="ListBullet3">
    <w:name w:val="List Bullet 3"/>
    <w:basedOn w:val="List3"/>
    <w:rsid w:val="00FF2FA9"/>
    <w:pPr>
      <w:numPr>
        <w:numId w:val="15"/>
      </w:numPr>
      <w:tabs>
        <w:tab w:val="clear" w:pos="1021"/>
      </w:tabs>
      <w:ind w:left="1037" w:hanging="357"/>
    </w:pPr>
  </w:style>
  <w:style w:type="paragraph" w:styleId="ListBullet4">
    <w:name w:val="List Bullet 4"/>
    <w:basedOn w:val="List4"/>
    <w:rsid w:val="00FF2FA9"/>
    <w:pPr>
      <w:numPr>
        <w:numId w:val="3"/>
      </w:numPr>
      <w:tabs>
        <w:tab w:val="clear" w:pos="1361"/>
      </w:tabs>
    </w:pPr>
  </w:style>
  <w:style w:type="paragraph" w:styleId="ListBullet5">
    <w:name w:val="List Bullet 5"/>
    <w:basedOn w:val="List5"/>
    <w:rsid w:val="00FF2FA9"/>
    <w:pPr>
      <w:numPr>
        <w:numId w:val="4"/>
      </w:numPr>
    </w:pPr>
  </w:style>
  <w:style w:type="paragraph" w:styleId="ListContinue2">
    <w:name w:val="List Continue 2"/>
    <w:basedOn w:val="List2"/>
    <w:rsid w:val="00FF2FA9"/>
    <w:pPr>
      <w:ind w:firstLine="0"/>
    </w:pPr>
  </w:style>
  <w:style w:type="paragraph" w:styleId="ListContinue3">
    <w:name w:val="List Continue 3"/>
    <w:basedOn w:val="List3"/>
    <w:rsid w:val="00FF2FA9"/>
    <w:pPr>
      <w:ind w:left="1021" w:firstLine="0"/>
    </w:pPr>
  </w:style>
  <w:style w:type="paragraph" w:styleId="ListContinue4">
    <w:name w:val="List Continue 4"/>
    <w:basedOn w:val="List4"/>
    <w:rsid w:val="00FF2FA9"/>
    <w:pPr>
      <w:ind w:firstLine="0"/>
    </w:pPr>
  </w:style>
  <w:style w:type="paragraph" w:styleId="ListContinue5">
    <w:name w:val="List Continue 5"/>
    <w:basedOn w:val="List5"/>
    <w:rsid w:val="00FF2FA9"/>
    <w:pPr>
      <w:ind w:firstLine="0"/>
    </w:pPr>
  </w:style>
  <w:style w:type="paragraph" w:styleId="ListNumber3">
    <w:name w:val="List Number 3"/>
    <w:basedOn w:val="List3"/>
    <w:rsid w:val="00FF2FA9"/>
    <w:pPr>
      <w:numPr>
        <w:numId w:val="5"/>
      </w:numPr>
    </w:pPr>
  </w:style>
  <w:style w:type="paragraph" w:styleId="ListNumber4">
    <w:name w:val="List Number 4"/>
    <w:basedOn w:val="List4"/>
    <w:rsid w:val="00FF2FA9"/>
    <w:pPr>
      <w:numPr>
        <w:numId w:val="6"/>
      </w:numPr>
    </w:pPr>
  </w:style>
  <w:style w:type="paragraph" w:styleId="ListNumber5">
    <w:name w:val="List Number 5"/>
    <w:basedOn w:val="List5"/>
    <w:rsid w:val="00FF2FA9"/>
    <w:pPr>
      <w:numPr>
        <w:numId w:val="7"/>
      </w:numPr>
    </w:pPr>
  </w:style>
  <w:style w:type="paragraph" w:styleId="BlockText">
    <w:name w:val="Block Text"/>
    <w:basedOn w:val="Normal"/>
    <w:rsid w:val="00FF2FA9"/>
    <w:pPr>
      <w:spacing w:after="120"/>
      <w:ind w:left="1440" w:right="1440"/>
    </w:pPr>
  </w:style>
  <w:style w:type="character" w:customStyle="1" w:styleId="Subscript">
    <w:name w:val="Subscript"/>
    <w:basedOn w:val="DefaultParagraphFont"/>
    <w:rsid w:val="00FF2FA9"/>
    <w:rPr>
      <w:sz w:val="16"/>
      <w:vertAlign w:val="subscript"/>
    </w:rPr>
  </w:style>
  <w:style w:type="character" w:customStyle="1" w:styleId="Superscript">
    <w:name w:val="Superscript"/>
    <w:basedOn w:val="DefaultParagraphFont"/>
    <w:rsid w:val="00FF2FA9"/>
    <w:rPr>
      <w:sz w:val="16"/>
      <w:vertAlign w:val="superscript"/>
    </w:rPr>
  </w:style>
  <w:style w:type="character" w:customStyle="1" w:styleId="Symbols">
    <w:name w:val="Symbols"/>
    <w:basedOn w:val="DefaultParagraphFont"/>
    <w:rsid w:val="00FF2FA9"/>
    <w:rPr>
      <w:rFonts w:ascii="Symbol" w:hAnsi="Symbol"/>
    </w:rPr>
  </w:style>
  <w:style w:type="character" w:customStyle="1" w:styleId="MenuOptions">
    <w:name w:val="Menu Options"/>
    <w:basedOn w:val="DefaultParagraphFont"/>
    <w:rsid w:val="00FF2FA9"/>
    <w:rPr>
      <w:rFonts w:ascii="Arial Narrow" w:hAnsi="Arial Narrow"/>
      <w:smallCaps/>
    </w:rPr>
  </w:style>
  <w:style w:type="character" w:customStyle="1" w:styleId="Buttons">
    <w:name w:val="Buttons"/>
    <w:basedOn w:val="DefaultParagraphFont"/>
    <w:rsid w:val="00FF2FA9"/>
    <w:rPr>
      <w:b/>
    </w:rPr>
  </w:style>
  <w:style w:type="character" w:customStyle="1" w:styleId="Underlined">
    <w:name w:val="Underlined"/>
    <w:basedOn w:val="DefaultParagraphFont"/>
    <w:rsid w:val="00FF2FA9"/>
    <w:rPr>
      <w:u w:val="single"/>
    </w:rPr>
  </w:style>
  <w:style w:type="paragraph" w:customStyle="1" w:styleId="TableBodyTextRight">
    <w:name w:val="Table Body Text Right"/>
    <w:basedOn w:val="TableBodyText"/>
    <w:rsid w:val="00FF2FA9"/>
    <w:pPr>
      <w:widowControl w:val="0"/>
      <w:autoSpaceDE w:val="0"/>
      <w:autoSpaceDN w:val="0"/>
      <w:adjustRightInd w:val="0"/>
      <w:jc w:val="right"/>
    </w:pPr>
    <w:rPr>
      <w:rFonts w:cs="Arial"/>
      <w:szCs w:val="18"/>
    </w:rPr>
  </w:style>
  <w:style w:type="paragraph" w:customStyle="1" w:styleId="CopyrightText">
    <w:name w:val="Copyright Text"/>
    <w:basedOn w:val="BodyText"/>
    <w:rsid w:val="00FF2FA9"/>
    <w:rPr>
      <w:sz w:val="18"/>
    </w:rPr>
  </w:style>
  <w:style w:type="paragraph" w:customStyle="1" w:styleId="BodySmallRight">
    <w:name w:val="Body Small Right"/>
    <w:basedOn w:val="BodyTextRight"/>
    <w:rsid w:val="00FF2FA9"/>
    <w:rPr>
      <w:sz w:val="18"/>
      <w:szCs w:val="18"/>
    </w:rPr>
  </w:style>
  <w:style w:type="paragraph" w:customStyle="1" w:styleId="MarginEdition">
    <w:name w:val="Margin Edition"/>
    <w:basedOn w:val="MarginNote"/>
    <w:rsid w:val="00FF2FA9"/>
    <w:pPr>
      <w:spacing w:before="0" w:after="0"/>
    </w:pPr>
    <w:rPr>
      <w:rFonts w:ascii="Times New Roman" w:hAnsi="Times New Roman"/>
      <w:color w:val="999999"/>
    </w:rPr>
  </w:style>
  <w:style w:type="paragraph" w:customStyle="1" w:styleId="Spacer">
    <w:name w:val="Spacer"/>
    <w:basedOn w:val="Normal"/>
    <w:rsid w:val="00FF2FA9"/>
    <w:rPr>
      <w:sz w:val="2"/>
      <w:szCs w:val="2"/>
    </w:rPr>
  </w:style>
  <w:style w:type="character" w:customStyle="1" w:styleId="Small">
    <w:name w:val="Small"/>
    <w:basedOn w:val="DefaultParagraphFont"/>
    <w:rsid w:val="00FF2FA9"/>
    <w:rPr>
      <w:sz w:val="16"/>
    </w:rPr>
  </w:style>
  <w:style w:type="paragraph" w:customStyle="1" w:styleId="WideTable">
    <w:name w:val="Wide Table"/>
    <w:basedOn w:val="Normal"/>
    <w:rsid w:val="00FF2FA9"/>
    <w:pPr>
      <w:ind w:left="-1418"/>
    </w:pPr>
    <w:rPr>
      <w:sz w:val="2"/>
      <w:szCs w:val="2"/>
    </w:rPr>
  </w:style>
  <w:style w:type="character" w:styleId="PageNumber">
    <w:name w:val="page number"/>
    <w:basedOn w:val="DefaultParagraphFont"/>
    <w:rsid w:val="00FF2FA9"/>
  </w:style>
  <w:style w:type="paragraph" w:styleId="Quote">
    <w:name w:val="Quote"/>
    <w:basedOn w:val="Heading1"/>
    <w:link w:val="QuoteChar"/>
    <w:qFormat/>
    <w:rsid w:val="00FF2FA9"/>
    <w:rPr>
      <w:b w:val="0"/>
      <w:sz w:val="72"/>
      <w:szCs w:val="72"/>
      <w:lang w:val="en-NZ"/>
    </w:rPr>
  </w:style>
  <w:style w:type="character" w:customStyle="1" w:styleId="QuoteChar">
    <w:name w:val="Quote Char"/>
    <w:basedOn w:val="DefaultParagraphFont"/>
    <w:link w:val="Quote"/>
    <w:rsid w:val="00FF2F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2FA9"/>
    <w:pPr>
      <w:pageBreakBefore/>
    </w:pPr>
  </w:style>
  <w:style w:type="paragraph" w:customStyle="1" w:styleId="Border">
    <w:name w:val="Border"/>
    <w:basedOn w:val="Normal"/>
    <w:qFormat/>
    <w:rsid w:val="00FF2F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2FA9"/>
    <w:rPr>
      <w:b/>
      <w:bCs/>
      <w:i/>
      <w:iCs/>
      <w:color w:val="auto"/>
    </w:rPr>
  </w:style>
  <w:style w:type="paragraph" w:styleId="IntenseQuote">
    <w:name w:val="Intense Quote"/>
    <w:basedOn w:val="Normal"/>
    <w:next w:val="Normal"/>
    <w:link w:val="IntenseQuoteChar"/>
    <w:uiPriority w:val="30"/>
    <w:qFormat/>
    <w:rsid w:val="00FF2F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2F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2FA9"/>
    <w:rPr>
      <w:smallCaps/>
      <w:color w:val="auto"/>
      <w:u w:val="single"/>
    </w:rPr>
  </w:style>
  <w:style w:type="character" w:styleId="IntenseReference">
    <w:name w:val="Intense Reference"/>
    <w:basedOn w:val="DefaultParagraphFont"/>
    <w:uiPriority w:val="32"/>
    <w:qFormat/>
    <w:rsid w:val="00FF2FA9"/>
    <w:rPr>
      <w:b/>
      <w:bCs/>
      <w:smallCaps/>
      <w:color w:val="auto"/>
      <w:spacing w:val="5"/>
      <w:u w:val="single"/>
    </w:rPr>
  </w:style>
  <w:style w:type="paragraph" w:customStyle="1" w:styleId="2ColumnHeading">
    <w:name w:val="2Column Heading"/>
    <w:basedOn w:val="BodyText"/>
    <w:qFormat/>
    <w:rsid w:val="00FF2FA9"/>
    <w:pPr>
      <w:spacing w:after="60"/>
      <w:ind w:left="-2268"/>
    </w:pPr>
    <w:rPr>
      <w:b/>
    </w:rPr>
  </w:style>
  <w:style w:type="paragraph" w:customStyle="1" w:styleId="Heading1TOC">
    <w:name w:val="Heading1 TOC"/>
    <w:basedOn w:val="Normal"/>
    <w:qFormat/>
    <w:rsid w:val="00FF2FA9"/>
    <w:pPr>
      <w:spacing w:before="240" w:after="120"/>
    </w:pPr>
    <w:rPr>
      <w:rFonts w:ascii="Times New Roman" w:hAnsi="Times New Roman"/>
      <w:b/>
      <w:sz w:val="32"/>
    </w:rPr>
  </w:style>
  <w:style w:type="paragraph" w:customStyle="1" w:styleId="Heading2TOC">
    <w:name w:val="Heading2 TOC"/>
    <w:basedOn w:val="Normal"/>
    <w:qFormat/>
    <w:rsid w:val="00FF2FA9"/>
    <w:pPr>
      <w:spacing w:before="240" w:after="60"/>
    </w:pPr>
    <w:rPr>
      <w:rFonts w:ascii="Times New Roman" w:hAnsi="Times New Roman"/>
      <w:b/>
      <w:sz w:val="28"/>
    </w:rPr>
  </w:style>
  <w:style w:type="character" w:customStyle="1" w:styleId="Underline">
    <w:name w:val="Underline"/>
    <w:basedOn w:val="DefaultParagraphFont"/>
    <w:qFormat/>
    <w:rsid w:val="00FF2FA9"/>
    <w:rPr>
      <w:u w:val="single"/>
    </w:rPr>
  </w:style>
  <w:style w:type="paragraph" w:styleId="BalloonText">
    <w:name w:val="Balloon Text"/>
    <w:basedOn w:val="Normal"/>
    <w:link w:val="BalloonTextChar"/>
    <w:rsid w:val="00FF2FA9"/>
    <w:rPr>
      <w:rFonts w:ascii="Tahoma" w:hAnsi="Tahoma" w:cs="Tahoma"/>
      <w:sz w:val="16"/>
      <w:szCs w:val="16"/>
    </w:rPr>
  </w:style>
  <w:style w:type="character" w:customStyle="1" w:styleId="BalloonTextChar">
    <w:name w:val="Balloon Text Char"/>
    <w:basedOn w:val="DefaultParagraphFont"/>
    <w:link w:val="BalloonText"/>
    <w:rsid w:val="00FF2F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2F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2F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2FA9"/>
    <w:rPr>
      <w:b/>
      <w:color w:val="660033"/>
      <w:spacing w:val="0"/>
    </w:rPr>
  </w:style>
  <w:style w:type="paragraph" w:customStyle="1" w:styleId="Nameditemlist">
    <w:name w:val="Named item list"/>
    <w:basedOn w:val="BodyText"/>
    <w:qFormat/>
    <w:rsid w:val="00FF2FA9"/>
    <w:pPr>
      <w:tabs>
        <w:tab w:val="left" w:pos="2835"/>
      </w:tabs>
      <w:ind w:left="2835" w:hanging="2835"/>
    </w:pPr>
  </w:style>
  <w:style w:type="paragraph" w:customStyle="1" w:styleId="BodyTextnopadding">
    <w:name w:val="Body Text no padding"/>
    <w:basedOn w:val="BodyText"/>
    <w:qFormat/>
    <w:rsid w:val="00FF2FA9"/>
    <w:pPr>
      <w:spacing w:before="0" w:after="0"/>
    </w:pPr>
  </w:style>
  <w:style w:type="character" w:styleId="Hyperlink">
    <w:name w:val="Hyperlink"/>
    <w:basedOn w:val="DefaultParagraphFont"/>
    <w:uiPriority w:val="99"/>
    <w:unhideWhenUsed/>
    <w:rsid w:val="006E18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1020</Words>
  <Characters>6449</Characters>
  <Application>Microsoft Office Word</Application>
  <DocSecurity>0</DocSecurity>
  <Lines>322</Lines>
  <Paragraphs>173</Paragraphs>
  <ScaleCrop>false</ScaleCrop>
  <Company>Author-it Software Corporation Ltd.</Company>
  <LinksUpToDate>false</LinksUpToDate>
  <CharactersWithSpaces>7296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CPCCJN3001 Process materials to produce components using static machines</dc:title>
  <dc:subject>Approved</dc:subject>
  <dc:creator>Artibus Innovation</dc:creator>
  <cp:keywords>Release: 1</cp:keywords>
  <dc:description>Review Date: 12 April 2008</dc:description>
  <cp:lastModifiedBy>HSD_TPCMSd.prod</cp:lastModifiedBy>
  <cp:revision>3</cp:revision>
  <dcterms:created xsi:type="dcterms:W3CDTF">2019-01-17T03:14:00Z</dcterms:created>
  <dcterms:modified xsi:type="dcterms:W3CDTF">2019-01-17T03:14:00Z</dcterms:modified>
</cp:coreProperties>
</file>