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71F" w:rsidP="006B2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CPCCJN2001 Assemble components</w:t>
      </w:r>
      <w:r>
        <w:fldChar w:fldCharType="end"/>
      </w:r>
    </w:p>
    <w:p w:rsidR="006B271F" w:rsidP="006B271F">
      <w:pPr>
        <w:pStyle w:val="Version"/>
        <w:sectPr w:rsidSect="000E0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3E1" w:rsidP="000E03E1">
      <w:pPr>
        <w:pStyle w:val="SuperHeading"/>
      </w:pPr>
      <w:r w:rsidRPr="000E03E1">
        <w:t>Assessment Requirements for CPCCJN2001 Assemble components</w:t>
      </w:r>
    </w:p>
    <w:p w:rsidR="00000000" w:rsidRPr="000E03E1" w:rsidP="000E03E1">
      <w:pPr>
        <w:pStyle w:val="Heading1"/>
      </w:pPr>
      <w:bookmarkStart w:id="1" w:name="O_1294393"/>
      <w:bookmarkEnd w:id="1"/>
      <w:r w:rsidRPr="000E0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3E1">
            <w:pPr>
              <w:pStyle w:val="BodyText"/>
              <w:rPr>
                <w:lang w:val="en-NZ"/>
              </w:rPr>
            </w:pPr>
            <w:r w:rsidRPr="000E03E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3E1">
            <w:pPr>
              <w:pStyle w:val="BodyText"/>
              <w:rPr>
                <w:lang w:val="en-NZ"/>
              </w:rPr>
            </w:pPr>
            <w:r w:rsidRPr="000E03E1">
              <w:t>Updated reference to general construction induction training program.</w:t>
            </w:r>
          </w:p>
        </w:tc>
      </w:tr>
      <w:tr w:rsidTr="000E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3E1">
            <w:pPr>
              <w:pStyle w:val="BodyText"/>
              <w:rPr>
                <w:lang w:val="en-NZ"/>
              </w:rPr>
            </w:pPr>
            <w:r w:rsidRPr="000E03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3E1" w:rsidP="000E03E1">
            <w:pPr>
              <w:pStyle w:val="BodyText"/>
            </w:pPr>
            <w:r w:rsidRPr="000E03E1">
              <w:t>This version first released with CPC Construction, Plumbing and Services Training Package Release 5.0.</w:t>
            </w:r>
          </w:p>
          <w:p w:rsidR="00000000" w:rsidRPr="000E03E1" w:rsidP="000E03E1">
            <w:pPr>
              <w:pStyle w:val="BodyText"/>
            </w:pPr>
            <w:r w:rsidRPr="000E03E1">
              <w:t>Supersedes and is equiv</w:t>
            </w:r>
            <w:r w:rsidRPr="000E03E1">
              <w:t>alent to CPCCJN2001A Assemble components.  Updated to meet the Standards for Training Packages 2012.</w:t>
            </w:r>
          </w:p>
        </w:tc>
      </w:tr>
    </w:tbl>
    <w:p w:rsidR="00000000" w:rsidRPr="000E03E1" w:rsidP="000E03E1">
      <w:pPr>
        <w:pStyle w:val="BodyText"/>
      </w:pPr>
    </w:p>
    <w:p w:rsidR="00000000" w:rsidRPr="000E03E1" w:rsidP="000E03E1">
      <w:pPr>
        <w:pStyle w:val="AllowPageBreak"/>
      </w:pPr>
    </w:p>
    <w:p w:rsidR="00000000" w:rsidRPr="000E03E1" w:rsidP="000E03E1">
      <w:pPr>
        <w:pStyle w:val="Heading1"/>
      </w:pPr>
      <w:bookmarkStart w:id="2" w:name="O_1294392"/>
      <w:bookmarkEnd w:id="2"/>
      <w:r w:rsidRPr="000E03E1">
        <w:t>Performance Evidence</w:t>
      </w:r>
    </w:p>
    <w:p w:rsidR="00000000" w:rsidRPr="000E03E1" w:rsidP="006B271F">
      <w:pPr>
        <w:pStyle w:val="BodyText"/>
      </w:pPr>
      <w:r w:rsidRPr="000E03E1">
        <w:t>To demonstrate competency, a candidate must meet the performance criteria of this unit by assembling components t</w:t>
      </w:r>
      <w:r w:rsidRPr="000E03E1">
        <w:t>o complete three of the following assembled units:</w:t>
      </w:r>
    </w:p>
    <w:p w:rsidR="00000000" w:rsidRPr="000E03E1" w:rsidP="000E03E1">
      <w:pPr>
        <w:pStyle w:val="ListBullet"/>
      </w:pPr>
      <w:r w:rsidRPr="000E03E1">
        <w:t>door frame</w:t>
      </w:r>
    </w:p>
    <w:p w:rsidR="00000000" w:rsidRPr="000E03E1" w:rsidP="000E03E1">
      <w:pPr>
        <w:pStyle w:val="ListBullet"/>
      </w:pPr>
      <w:r w:rsidRPr="000E03E1">
        <w:t>window frame</w:t>
      </w:r>
    </w:p>
    <w:p w:rsidR="00000000" w:rsidRPr="000E03E1" w:rsidP="000E03E1">
      <w:pPr>
        <w:pStyle w:val="ListBullet"/>
      </w:pPr>
      <w:r w:rsidRPr="000E03E1">
        <w:t>door</w:t>
      </w:r>
    </w:p>
    <w:p w:rsidR="00000000" w:rsidRPr="000E03E1" w:rsidP="000E03E1">
      <w:pPr>
        <w:pStyle w:val="ListBullet"/>
      </w:pPr>
      <w:r w:rsidRPr="000E03E1">
        <w:t>louvres</w:t>
      </w:r>
    </w:p>
    <w:p w:rsidR="00000000" w:rsidRPr="000E03E1" w:rsidP="000E03E1">
      <w:pPr>
        <w:pStyle w:val="ListBullet"/>
      </w:pPr>
      <w:r w:rsidRPr="000E03E1">
        <w:t>fitments, including cupboards, counters, shelving and robes</w:t>
      </w:r>
    </w:p>
    <w:p w:rsidR="00000000" w:rsidRPr="000E03E1" w:rsidP="000E03E1">
      <w:pPr>
        <w:pStyle w:val="ListBullet"/>
      </w:pPr>
      <w:r w:rsidRPr="000E03E1">
        <w:t>shopfront</w:t>
      </w:r>
    </w:p>
    <w:p w:rsidR="00000000" w:rsidRPr="000E03E1" w:rsidP="000E03E1">
      <w:pPr>
        <w:pStyle w:val="ListBullet"/>
      </w:pPr>
      <w:r w:rsidRPr="000E03E1">
        <w:t>stairs</w:t>
      </w:r>
    </w:p>
    <w:p w:rsidR="00000000" w:rsidRPr="000E03E1" w:rsidP="000E03E1">
      <w:pPr>
        <w:pStyle w:val="ListBullet"/>
      </w:pPr>
      <w:r w:rsidRPr="000E03E1">
        <w:t>window sash.</w:t>
      </w:r>
    </w:p>
    <w:p w:rsidR="00000000" w:rsidRPr="000E03E1" w:rsidP="000E03E1">
      <w:pPr>
        <w:pStyle w:val="AllowPageBreak"/>
      </w:pPr>
    </w:p>
    <w:p w:rsidR="00000000" w:rsidRPr="000E03E1" w:rsidP="000E03E1">
      <w:pPr>
        <w:pStyle w:val="Heading1"/>
      </w:pPr>
      <w:bookmarkStart w:id="3" w:name="O_1294391"/>
      <w:bookmarkEnd w:id="3"/>
      <w:r w:rsidRPr="000E03E1">
        <w:t>Knowledge Evidence</w:t>
      </w:r>
    </w:p>
    <w:p w:rsidR="00000000" w:rsidRPr="000E03E1" w:rsidP="006B271F">
      <w:pPr>
        <w:pStyle w:val="BodyText"/>
      </w:pPr>
      <w:r w:rsidRPr="000E03E1">
        <w:t>To be competent in this unit, a candidate must demonstrate knowledge of:</w:t>
      </w:r>
    </w:p>
    <w:p w:rsidR="00000000" w:rsidRPr="000E03E1" w:rsidP="000E03E1">
      <w:pPr>
        <w:pStyle w:val="ListBullet"/>
      </w:pPr>
      <w:r w:rsidRPr="000E03E1">
        <w:t xml:space="preserve">compliance requirements of Australian Standards relevant to assembling components </w:t>
      </w:r>
    </w:p>
    <w:p w:rsidR="00000000" w:rsidRPr="000E03E1" w:rsidP="000E03E1">
      <w:pPr>
        <w:pStyle w:val="ListBullet"/>
      </w:pPr>
      <w:r w:rsidRPr="000E03E1">
        <w:t>workplace quality policies and standards for assembling components</w:t>
      </w:r>
    </w:p>
    <w:p w:rsidR="00000000" w:rsidRPr="000E03E1" w:rsidP="000E03E1">
      <w:pPr>
        <w:pStyle w:val="ListBullet"/>
      </w:pPr>
      <w:r w:rsidRPr="000E03E1">
        <w:t>safety requirements for assembli</w:t>
      </w:r>
      <w:r w:rsidRPr="000E03E1">
        <w:t>ng components</w:t>
      </w:r>
    </w:p>
    <w:p w:rsidR="00000000" w:rsidRPr="000E03E1" w:rsidP="000E03E1">
      <w:pPr>
        <w:pStyle w:val="ListBullet"/>
      </w:pPr>
      <w:r w:rsidRPr="000E03E1">
        <w:t xml:space="preserve">types and uses of tools and equipment for assembling components </w:t>
      </w:r>
    </w:p>
    <w:p w:rsidR="00000000" w:rsidRPr="000E03E1" w:rsidP="000E03E1">
      <w:pPr>
        <w:pStyle w:val="ListBullet"/>
      </w:pPr>
      <w:r w:rsidRPr="000E03E1">
        <w:t>processes for assembling constructed units:</w:t>
      </w:r>
    </w:p>
    <w:p w:rsidR="00000000" w:rsidRPr="000E03E1" w:rsidP="000E03E1">
      <w:pPr>
        <w:pStyle w:val="ListBullet2"/>
      </w:pPr>
      <w:r w:rsidRPr="000E03E1">
        <w:t>door frames</w:t>
      </w:r>
    </w:p>
    <w:p w:rsidR="00000000" w:rsidRPr="000E03E1" w:rsidP="000E03E1">
      <w:pPr>
        <w:pStyle w:val="ListBullet2"/>
      </w:pPr>
      <w:r w:rsidRPr="000E03E1">
        <w:t>window frames</w:t>
      </w:r>
    </w:p>
    <w:p w:rsidR="00000000" w:rsidRPr="000E03E1" w:rsidP="000E03E1">
      <w:pPr>
        <w:pStyle w:val="ListBullet2"/>
      </w:pPr>
      <w:r w:rsidRPr="000E03E1">
        <w:t>doors</w:t>
      </w:r>
    </w:p>
    <w:p w:rsidR="00000000" w:rsidRPr="000E03E1" w:rsidP="000E03E1">
      <w:pPr>
        <w:pStyle w:val="ListBullet2"/>
      </w:pPr>
      <w:r w:rsidRPr="000E03E1">
        <w:t>louvres</w:t>
      </w:r>
    </w:p>
    <w:p w:rsidR="00000000" w:rsidRPr="000E03E1" w:rsidP="000E03E1">
      <w:pPr>
        <w:pStyle w:val="ListBullet2"/>
      </w:pPr>
      <w:r w:rsidRPr="000E03E1">
        <w:t>fitments, including cupboards, counters, shelving and robes</w:t>
      </w:r>
    </w:p>
    <w:p w:rsidR="00000000" w:rsidRPr="000E03E1" w:rsidP="000E03E1">
      <w:pPr>
        <w:pStyle w:val="ListBullet2"/>
      </w:pPr>
      <w:r w:rsidRPr="000E03E1">
        <w:t>shopfronts</w:t>
      </w:r>
    </w:p>
    <w:p w:rsidR="00000000" w:rsidRPr="000E03E1" w:rsidP="000E03E1">
      <w:pPr>
        <w:pStyle w:val="ListBullet2"/>
      </w:pPr>
      <w:r w:rsidRPr="000E03E1">
        <w:t>stairs</w:t>
      </w:r>
    </w:p>
    <w:p w:rsidR="00000000" w:rsidRPr="000E03E1" w:rsidP="000E03E1">
      <w:pPr>
        <w:pStyle w:val="ListBullet2"/>
      </w:pPr>
      <w:r w:rsidRPr="000E03E1">
        <w:t>window sashes</w:t>
      </w:r>
    </w:p>
    <w:p w:rsidR="00000000" w:rsidRPr="000E03E1" w:rsidP="000E03E1">
      <w:pPr>
        <w:pStyle w:val="ListBullet"/>
      </w:pPr>
      <w:r w:rsidRPr="000E03E1">
        <w:t>assembly methods using the following:</w:t>
      </w:r>
    </w:p>
    <w:p w:rsidR="00000000" w:rsidRPr="000E03E1" w:rsidP="000E03E1">
      <w:pPr>
        <w:pStyle w:val="ListBullet2"/>
      </w:pPr>
      <w:r w:rsidRPr="000E03E1">
        <w:t>clamps</w:t>
      </w:r>
    </w:p>
    <w:p w:rsidR="00000000" w:rsidRPr="000E03E1" w:rsidP="000E03E1">
      <w:pPr>
        <w:pStyle w:val="ListBullet2"/>
      </w:pPr>
      <w:r w:rsidRPr="000E03E1">
        <w:t>cramps</w:t>
      </w:r>
    </w:p>
    <w:p w:rsidR="00000000" w:rsidRPr="000E03E1" w:rsidP="000E03E1">
      <w:pPr>
        <w:pStyle w:val="ListBullet2"/>
      </w:pPr>
      <w:r w:rsidRPr="000E03E1">
        <w:t>packers and wedges</w:t>
      </w:r>
    </w:p>
    <w:p w:rsidR="00000000" w:rsidRPr="000E03E1" w:rsidP="000E03E1">
      <w:pPr>
        <w:pStyle w:val="ListBullet2"/>
      </w:pPr>
      <w:r w:rsidRPr="000E03E1">
        <w:t>presses.</w:t>
      </w:r>
    </w:p>
    <w:p w:rsidR="00000000" w:rsidRPr="000E03E1" w:rsidP="000E03E1">
      <w:pPr>
        <w:pStyle w:val="AllowPageBreak"/>
      </w:pPr>
    </w:p>
    <w:p w:rsidR="00000000" w:rsidRPr="000E03E1" w:rsidP="000E03E1">
      <w:pPr>
        <w:pStyle w:val="Heading1"/>
      </w:pPr>
      <w:bookmarkStart w:id="4" w:name="O_1294390"/>
      <w:bookmarkEnd w:id="4"/>
      <w:r w:rsidRPr="000E03E1">
        <w:t>Assessment Conditions</w:t>
      </w:r>
    </w:p>
    <w:p w:rsidR="00000000" w:rsidRPr="000E03E1" w:rsidP="006B271F">
      <w:pPr>
        <w:pStyle w:val="BodyText"/>
      </w:pPr>
      <w:r w:rsidRPr="000E03E1">
        <w:t xml:space="preserve">Assessors must meet the requirements for assessors contained in the Standards for Registered Training Organisations. </w:t>
      </w:r>
    </w:p>
    <w:p w:rsidR="00000000" w:rsidRPr="000E03E1" w:rsidP="006B271F">
      <w:pPr>
        <w:pStyle w:val="BodyText"/>
      </w:pPr>
      <w:r w:rsidRPr="000E03E1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0E03E1" w:rsidP="000E03E1">
      <w:pPr>
        <w:pStyle w:val="Heading1"/>
      </w:pPr>
      <w:bookmarkStart w:id="5" w:name="O_1294403"/>
      <w:bookmarkEnd w:id="5"/>
      <w:r w:rsidRPr="000E03E1">
        <w:t>Links</w:t>
      </w:r>
    </w:p>
    <w:p w:rsidR="00000000" w:rsidRPr="000E03E1" w:rsidP="006B271F">
      <w:pPr>
        <w:pStyle w:val="BodyText"/>
      </w:pPr>
      <w:r w:rsidRPr="000E03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67B7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03E1" w:rsidP="000E03E1"/>
    <w:sectPr w:rsidSect="000E03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E1" w:rsidRPr="006B271F" w:rsidP="006B2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1F" w:rsidP="000E0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271F" w:rsidP="000E0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271F" w:rsidP="000E0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3E1" w:rsidRPr="006B271F" w:rsidP="006B2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1F" w:rsidRPr="002D2AF8" w:rsidP="000E0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CPCCJN2001 Assemble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271F" w:rsidP="000E0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E6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BA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96D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3E1"/>
  </w:style>
  <w:style w:type="character" w:customStyle="1" w:styleId="Heading1Char">
    <w:name w:val="Heading 1 Char"/>
    <w:basedOn w:val="DefaultParagraphFont"/>
    <w:link w:val="Heading1"/>
    <w:rsid w:val="000E0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3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3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3E1"/>
    <w:rPr>
      <w:b/>
      <w:spacing w:val="0"/>
    </w:rPr>
  </w:style>
  <w:style w:type="paragraph" w:customStyle="1" w:styleId="SuperTitle">
    <w:name w:val="SuperTitle"/>
    <w:basedOn w:val="Title"/>
    <w:rsid w:val="000E0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3E1"/>
    <w:rPr>
      <w:i/>
    </w:rPr>
  </w:style>
  <w:style w:type="paragraph" w:styleId="Caption">
    <w:name w:val="caption"/>
    <w:basedOn w:val="BodyText"/>
    <w:next w:val="Normal"/>
    <w:qFormat/>
    <w:rsid w:val="000E0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3E1"/>
  </w:style>
  <w:style w:type="paragraph" w:styleId="TableofFigures">
    <w:name w:val="table of figures"/>
    <w:basedOn w:val="Normal"/>
    <w:next w:val="Normal"/>
    <w:semiHidden/>
    <w:rsid w:val="000E0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3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3E1"/>
    <w:rPr>
      <w:rFonts w:ascii="Wingdings" w:hAnsi="Wingdings"/>
    </w:rPr>
  </w:style>
  <w:style w:type="paragraph" w:customStyle="1" w:styleId="TableHeading">
    <w:name w:val="Table Heading"/>
    <w:basedOn w:val="HeadingBase"/>
    <w:rsid w:val="000E0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3E1"/>
    <w:rPr>
      <w:color w:val="0033CC"/>
      <w:u w:val="none"/>
    </w:rPr>
  </w:style>
  <w:style w:type="paragraph" w:customStyle="1" w:styleId="BodyTextRight">
    <w:name w:val="Body Text Right"/>
    <w:basedOn w:val="BodyText"/>
    <w:rsid w:val="000E0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3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3E1"/>
    <w:rPr>
      <w:sz w:val="32"/>
    </w:rPr>
  </w:style>
  <w:style w:type="paragraph" w:customStyle="1" w:styleId="HeadingProcedure">
    <w:name w:val="Heading Procedure"/>
    <w:basedOn w:val="HeadingBase"/>
    <w:next w:val="Normal"/>
    <w:rsid w:val="000E0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3E1"/>
    <w:pPr>
      <w:spacing w:before="60" w:after="60"/>
    </w:pPr>
  </w:style>
  <w:style w:type="paragraph" w:styleId="ListContinue">
    <w:name w:val="List Continue"/>
    <w:basedOn w:val="List"/>
    <w:rsid w:val="000E03E1"/>
    <w:pPr>
      <w:ind w:firstLine="0"/>
    </w:pPr>
  </w:style>
  <w:style w:type="paragraph" w:customStyle="1" w:styleId="ListNote">
    <w:name w:val="List Note"/>
    <w:basedOn w:val="List"/>
    <w:rsid w:val="000E0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3E1"/>
    <w:rPr>
      <w:rFonts w:ascii="Courier New" w:hAnsi="Courier New"/>
    </w:rPr>
  </w:style>
  <w:style w:type="paragraph" w:customStyle="1" w:styleId="NoteBullet">
    <w:name w:val="Note Bullet"/>
    <w:basedOn w:val="Note"/>
    <w:rsid w:val="000E0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3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3E1"/>
    <w:rPr>
      <w:b/>
      <w:smallCaps/>
    </w:rPr>
  </w:style>
  <w:style w:type="paragraph" w:customStyle="1" w:styleId="TableListNumber">
    <w:name w:val="Table List Number"/>
    <w:basedOn w:val="ListNumber"/>
    <w:rsid w:val="000E0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3E1"/>
    <w:pPr>
      <w:numPr>
        <w:numId w:val="9"/>
      </w:numPr>
    </w:pPr>
  </w:style>
  <w:style w:type="paragraph" w:customStyle="1" w:styleId="ListAlpha2">
    <w:name w:val="List Alpha 2"/>
    <w:basedOn w:val="List2"/>
    <w:rsid w:val="000E03E1"/>
    <w:pPr>
      <w:numPr>
        <w:numId w:val="8"/>
      </w:numPr>
    </w:pPr>
  </w:style>
  <w:style w:type="paragraph" w:styleId="List2">
    <w:name w:val="List 2"/>
    <w:basedOn w:val="BodyText"/>
    <w:rsid w:val="000E0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3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3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3E1"/>
    <w:pPr>
      <w:numPr>
        <w:numId w:val="4"/>
      </w:numPr>
    </w:pPr>
  </w:style>
  <w:style w:type="paragraph" w:styleId="ListContinue2">
    <w:name w:val="List Continue 2"/>
    <w:basedOn w:val="List2"/>
    <w:rsid w:val="000E03E1"/>
    <w:pPr>
      <w:ind w:firstLine="0"/>
    </w:pPr>
  </w:style>
  <w:style w:type="paragraph" w:styleId="ListContinue3">
    <w:name w:val="List Continue 3"/>
    <w:basedOn w:val="List3"/>
    <w:rsid w:val="000E03E1"/>
    <w:pPr>
      <w:ind w:left="1021" w:firstLine="0"/>
    </w:pPr>
  </w:style>
  <w:style w:type="paragraph" w:styleId="ListContinue4">
    <w:name w:val="List Continue 4"/>
    <w:basedOn w:val="List4"/>
    <w:rsid w:val="000E03E1"/>
    <w:pPr>
      <w:ind w:firstLine="0"/>
    </w:pPr>
  </w:style>
  <w:style w:type="paragraph" w:styleId="ListContinue5">
    <w:name w:val="List Continue 5"/>
    <w:basedOn w:val="List5"/>
    <w:rsid w:val="000E03E1"/>
    <w:pPr>
      <w:ind w:firstLine="0"/>
    </w:pPr>
  </w:style>
  <w:style w:type="paragraph" w:styleId="ListNumber3">
    <w:name w:val="List Number 3"/>
    <w:basedOn w:val="List3"/>
    <w:rsid w:val="000E03E1"/>
    <w:pPr>
      <w:numPr>
        <w:numId w:val="5"/>
      </w:numPr>
    </w:pPr>
  </w:style>
  <w:style w:type="paragraph" w:styleId="ListNumber4">
    <w:name w:val="List Number 4"/>
    <w:basedOn w:val="List4"/>
    <w:rsid w:val="000E03E1"/>
    <w:pPr>
      <w:numPr>
        <w:numId w:val="6"/>
      </w:numPr>
    </w:pPr>
  </w:style>
  <w:style w:type="paragraph" w:styleId="ListNumber5">
    <w:name w:val="List Number 5"/>
    <w:basedOn w:val="List5"/>
    <w:rsid w:val="000E03E1"/>
    <w:pPr>
      <w:numPr>
        <w:numId w:val="7"/>
      </w:numPr>
    </w:pPr>
  </w:style>
  <w:style w:type="paragraph" w:styleId="BlockText">
    <w:name w:val="Block Text"/>
    <w:basedOn w:val="Normal"/>
    <w:rsid w:val="000E0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3E1"/>
    <w:rPr>
      <w:sz w:val="16"/>
      <w:vertAlign w:val="superscript"/>
    </w:rPr>
  </w:style>
  <w:style w:type="character" w:customStyle="1" w:styleId="Symbols">
    <w:name w:val="Symbols"/>
    <w:basedOn w:val="DefaultParagraphFont"/>
    <w:rsid w:val="000E03E1"/>
    <w:rPr>
      <w:rFonts w:ascii="Symbol" w:hAnsi="Symbol"/>
    </w:rPr>
  </w:style>
  <w:style w:type="character" w:customStyle="1" w:styleId="MenuOptions">
    <w:name w:val="Menu Options"/>
    <w:basedOn w:val="DefaultParagraphFont"/>
    <w:rsid w:val="000E0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3E1"/>
    <w:rPr>
      <w:b/>
    </w:rPr>
  </w:style>
  <w:style w:type="character" w:customStyle="1" w:styleId="Underlined">
    <w:name w:val="Underlined"/>
    <w:basedOn w:val="DefaultParagraphFont"/>
    <w:rsid w:val="000E03E1"/>
    <w:rPr>
      <w:u w:val="single"/>
    </w:rPr>
  </w:style>
  <w:style w:type="paragraph" w:customStyle="1" w:styleId="TableBodyTextRight">
    <w:name w:val="Table Body Text Right"/>
    <w:basedOn w:val="TableBodyText"/>
    <w:rsid w:val="000E0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3E1"/>
    <w:rPr>
      <w:sz w:val="18"/>
    </w:rPr>
  </w:style>
  <w:style w:type="paragraph" w:customStyle="1" w:styleId="BodySmallRight">
    <w:name w:val="Body Small Right"/>
    <w:basedOn w:val="BodyTextRight"/>
    <w:rsid w:val="000E03E1"/>
    <w:rPr>
      <w:sz w:val="18"/>
      <w:szCs w:val="18"/>
    </w:rPr>
  </w:style>
  <w:style w:type="paragraph" w:customStyle="1" w:styleId="MarginEdition">
    <w:name w:val="Margin Edition"/>
    <w:basedOn w:val="MarginNote"/>
    <w:rsid w:val="000E0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3E1"/>
    <w:rPr>
      <w:sz w:val="2"/>
      <w:szCs w:val="2"/>
    </w:rPr>
  </w:style>
  <w:style w:type="character" w:customStyle="1" w:styleId="Small">
    <w:name w:val="Small"/>
    <w:basedOn w:val="DefaultParagraphFont"/>
    <w:rsid w:val="000E03E1"/>
    <w:rPr>
      <w:sz w:val="16"/>
    </w:rPr>
  </w:style>
  <w:style w:type="paragraph" w:customStyle="1" w:styleId="WideTable">
    <w:name w:val="Wide Table"/>
    <w:basedOn w:val="Normal"/>
    <w:rsid w:val="000E0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3E1"/>
  </w:style>
  <w:style w:type="paragraph" w:styleId="Quote">
    <w:name w:val="Quote"/>
    <w:basedOn w:val="Heading1"/>
    <w:link w:val="QuoteChar"/>
    <w:qFormat/>
    <w:rsid w:val="000E0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3E1"/>
    <w:pPr>
      <w:pageBreakBefore/>
    </w:pPr>
  </w:style>
  <w:style w:type="paragraph" w:customStyle="1" w:styleId="Border">
    <w:name w:val="Border"/>
    <w:basedOn w:val="Normal"/>
    <w:qFormat/>
    <w:rsid w:val="000E0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3E1"/>
    <w:rPr>
      <w:u w:val="single"/>
    </w:rPr>
  </w:style>
  <w:style w:type="character" w:customStyle="1" w:styleId="BoldandItalics">
    <w:name w:val="Bold and Italics"/>
    <w:qFormat/>
    <w:rsid w:val="000E03E1"/>
    <w:rPr>
      <w:b/>
      <w:i/>
      <w:u w:val="none"/>
    </w:rPr>
  </w:style>
  <w:style w:type="paragraph" w:styleId="BalloonText">
    <w:name w:val="Balloon Text"/>
    <w:basedOn w:val="Normal"/>
    <w:link w:val="BalloonTextChar"/>
    <w:rsid w:val="000E0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3E1"/>
    <w:pPr>
      <w:spacing w:before="0" w:after="0"/>
    </w:pPr>
  </w:style>
  <w:style w:type="paragraph" w:customStyle="1" w:styleId="BodyTextBold">
    <w:name w:val="Body Text Bold"/>
    <w:basedOn w:val="BodyText"/>
    <w:qFormat/>
    <w:rsid w:val="000E03E1"/>
    <w:rPr>
      <w:b/>
    </w:rPr>
  </w:style>
  <w:style w:type="character" w:styleId="Hyperlink">
    <w:name w:val="Hyperlink"/>
    <w:basedOn w:val="DefaultParagraphFont"/>
    <w:uiPriority w:val="99"/>
    <w:unhideWhenUsed/>
    <w:rsid w:val="006B2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1849</Characters>
  <Application>Microsoft Office Word</Application>
  <DocSecurity>0</DocSecurity>
  <Lines>63</Lines>
  <Paragraphs>54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CPCCJN2001 Assemble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