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F85" w:rsidP="00D90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CPCCDO3011 Perform dogging</w:t>
      </w:r>
      <w:r>
        <w:fldChar w:fldCharType="end"/>
      </w:r>
    </w:p>
    <w:p w:rsidR="00D90F85" w:rsidP="00D90F85">
      <w:pPr>
        <w:pStyle w:val="Version"/>
        <w:sectPr w:rsidSect="009C6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6B40" w:rsidP="009C6B40">
      <w:pPr>
        <w:pStyle w:val="SuperHeading"/>
      </w:pPr>
      <w:r w:rsidRPr="009C6B40">
        <w:t>CPCCDO3011 Perform dogging</w:t>
      </w:r>
    </w:p>
    <w:p w:rsidR="00000000" w:rsidRPr="009C6B40" w:rsidP="009C6B40">
      <w:pPr>
        <w:pStyle w:val="Heading1"/>
      </w:pPr>
      <w:bookmarkStart w:id="1" w:name="O_1294433"/>
      <w:bookmarkEnd w:id="1"/>
      <w:r w:rsidRPr="009C6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Updated reference to general construction induction training program.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40" w:rsidP="009C6B40">
            <w:pPr>
              <w:pStyle w:val="BodyText"/>
            </w:pPr>
            <w:r w:rsidRPr="009C6B40">
              <w:t>This version first released with CPC Construction, Plumbing and Services Training Package Release 5.0.</w:t>
            </w:r>
          </w:p>
          <w:p w:rsidR="00000000" w:rsidRPr="009C6B40" w:rsidP="009C6B40">
            <w:pPr>
              <w:pStyle w:val="BodyText"/>
            </w:pPr>
            <w:r w:rsidRPr="009C6B40">
              <w:t>Supersedes and is equivalent to CPCCDO301</w:t>
            </w:r>
            <w:r w:rsidRPr="009C6B40">
              <w:t>1A Perform dogging.  Updated to meet the Standards for Training Packages 2012.</w:t>
            </w:r>
          </w:p>
        </w:tc>
      </w:tr>
    </w:tbl>
    <w:p w:rsidR="00000000" w:rsidRPr="009C6B40" w:rsidP="009C6B40">
      <w:pPr>
        <w:pStyle w:val="BodyText"/>
      </w:pP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2" w:name="O_1294432"/>
      <w:bookmarkEnd w:id="2"/>
      <w:r w:rsidRPr="009C6B40">
        <w:t>Application</w:t>
      </w:r>
    </w:p>
    <w:p w:rsidR="00000000" w:rsidRPr="009C6B40" w:rsidP="00D90F85">
      <w:pPr>
        <w:pStyle w:val="BodyText"/>
      </w:pPr>
      <w:r w:rsidRPr="009C6B40">
        <w:t>This unit specifies the skills and knowledge required to undertake basic dogging work for the purpose of shifting loads mechanically both in sig</w:t>
      </w:r>
      <w:r w:rsidRPr="009C6B40">
        <w:t>ht and out of sight of the crane operator. The unit includes selecting sling types and sizes and maintaining the stability of the load.</w:t>
      </w:r>
    </w:p>
    <w:p w:rsidR="00000000" w:rsidRPr="009C6B40" w:rsidP="00D90F85">
      <w:pPr>
        <w:pStyle w:val="BodyText"/>
      </w:pPr>
      <w:r w:rsidRPr="009C6B40">
        <w:t>It applies to workers using dogging tools and equipment, who would be expected to take responsibility for organising and</w:t>
      </w:r>
      <w:r w:rsidRPr="009C6B40">
        <w:t xml:space="preserve"> completing work tasks with a high degree of self direction. </w:t>
      </w:r>
    </w:p>
    <w:p w:rsidR="00000000" w:rsidRPr="009C6B40" w:rsidP="00D90F85">
      <w:pPr>
        <w:pStyle w:val="BodyText"/>
      </w:pPr>
      <w:r w:rsidRPr="009C6B40">
        <w:t>Completion of the general construction induction training program, specified in the Safe Work Australia model Code of Practice: Construction Work, is required by anyone carrying out construction</w:t>
      </w:r>
      <w:r w:rsidRPr="009C6B40">
        <w:t xml:space="preserve"> work. Achievement of CPCWHS1001 Prepare to work safely in the construction industry meets this requirement.</w:t>
      </w:r>
    </w:p>
    <w:p w:rsidR="00000000" w:rsidRPr="009C6B40" w:rsidP="00D90F85">
      <w:pPr>
        <w:pStyle w:val="BodyText"/>
      </w:pPr>
      <w:r w:rsidRPr="009C6B40">
        <w:t>Licensing, legislative, regulatory or certification requirements apply to this unit of competency in some states and territories. For further infor</w:t>
      </w:r>
      <w:r w:rsidRPr="009C6B40">
        <w:t>mation, check with the relevant regulatory authority.</w:t>
      </w:r>
    </w:p>
    <w:p w:rsidR="00000000" w:rsidRPr="009C6B40" w:rsidP="009C6B40">
      <w:pPr>
        <w:pStyle w:val="Heading1"/>
      </w:pPr>
      <w:bookmarkStart w:id="3" w:name="O_1294431"/>
      <w:bookmarkEnd w:id="3"/>
      <w:r w:rsidRPr="009C6B40">
        <w:t>Pre-requisite Unit</w:t>
      </w:r>
    </w:p>
    <w:p w:rsidR="00000000" w:rsidRPr="009C6B40" w:rsidP="00D90F85">
      <w:pPr>
        <w:pStyle w:val="BodyText"/>
      </w:pPr>
      <w:r w:rsidRPr="009C6B40">
        <w:t>CPCCWHS2001 Apply WHS requirements, policies and procedures in the construction industry</w:t>
      </w:r>
    </w:p>
    <w:p w:rsidR="00000000" w:rsidRPr="009C6B40" w:rsidP="009C6B40">
      <w:pPr>
        <w:pStyle w:val="Heading1"/>
      </w:pPr>
      <w:bookmarkStart w:id="4" w:name="O_1294430"/>
      <w:bookmarkEnd w:id="4"/>
      <w:r w:rsidRPr="009C6B40">
        <w:t>Unit Sector</w:t>
      </w:r>
    </w:p>
    <w:p w:rsidR="00000000" w:rsidRPr="009C6B40" w:rsidP="00D90F85">
      <w:pPr>
        <w:pStyle w:val="BodyText"/>
      </w:pPr>
      <w:r w:rsidRPr="009C6B40">
        <w:t>Dogging</w:t>
      </w:r>
    </w:p>
    <w:p w:rsidR="00000000" w:rsidRPr="009C6B40" w:rsidP="009C6B40">
      <w:pPr>
        <w:pStyle w:val="Heading1"/>
      </w:pPr>
      <w:bookmarkStart w:id="5" w:name="O_1294429"/>
      <w:bookmarkEnd w:id="5"/>
      <w:r w:rsidRPr="009C6B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Performance criteria describe what needs to be done to demonstrate achievement of the element.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Plan and prepare to perform dogging.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Interpret work order and associated doc</w:t>
            </w:r>
            <w:r w:rsidRPr="009C6B40">
              <w:t>umentation and clarify requirements with relevant persons.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Plan all work to comply with relevant legislation, regulations, standards, codes, work health and safety, environmental and workplace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Select tools and equipment required for work tasks, check for serviceability and rectify or report identified faults.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Confirm task sequencing schedule with relevant persons to ensure coordination.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Calculate load mass and confirm using lo</w:t>
            </w:r>
            <w:r w:rsidRPr="009C6B40">
              <w:t>ad charts and standard calculations.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Calculate loads in slings and equipment to suit task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Sling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Erect required safety signage and barricades and select and fit personal protective equipment (PPE).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Assemble lifting devices and erect for load movement.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Sling load to lifting device ready for lifting, using appropriate load slinging method.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Shift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Shift load to ensure stability, in compliance with safe work method statement (SWMS).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Direct load to landing position using appropriate communications in accordance with relevant Australian Standards and workplace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Land load in required position on packing or bearers.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Remove dogging equipment from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40" w:rsidP="009C6B40">
            <w:pPr>
              <w:pStyle w:val="BodyText"/>
            </w:pPr>
            <w:r w:rsidRPr="009C6B40">
              <w:t>Dismantle load shifting equipment and inspect for wear.</w:t>
            </w:r>
          </w:p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Complete required logbook and site records in accordance with workplace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40" w:rsidP="009C6B40">
            <w:pPr>
              <w:pStyle w:val="BodyText"/>
            </w:pPr>
            <w:r w:rsidRPr="009C6B40">
              <w:t>Dismantle load shifting equipment and inspect for wear.</w:t>
            </w:r>
          </w:p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 xml:space="preserve">Complete required logbook and site records in </w:t>
            </w:r>
            <w:r w:rsidRPr="009C6B40">
              <w:t>accordance with workplace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Clear work area and dispose of, reuse or recycle materials in accordance with regulatory and workplace requirements.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40" w:rsidP="009C6B40">
            <w:pPr>
              <w:pStyle w:val="BodyText"/>
            </w:pPr>
            <w:r w:rsidRPr="009C6B40">
              <w:t>Clean, check, maintain and store tools and equipment in accordance with manufacturer and workplace requirements.</w:t>
            </w:r>
          </w:p>
        </w:tc>
      </w:tr>
    </w:tbl>
    <w:p w:rsidR="00000000" w:rsidRPr="009C6B40" w:rsidP="009C6B40">
      <w:pPr>
        <w:pStyle w:val="BodyText"/>
      </w:pP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6" w:name="O_1294428"/>
      <w:bookmarkEnd w:id="6"/>
      <w:r w:rsidRPr="009C6B40">
        <w:t>Foundation Skills</w:t>
      </w:r>
    </w:p>
    <w:p w:rsidR="00000000" w:rsidRPr="009C6B40" w:rsidP="00D90F85">
      <w:pPr>
        <w:pStyle w:val="BodyText"/>
      </w:pPr>
      <w:r w:rsidRPr="009C6B40">
        <w:t>As well as the foundation skills explicit in the performance criteria of this unit, candidates require:</w:t>
      </w:r>
    </w:p>
    <w:p w:rsidR="00000000" w:rsidRPr="009C6B40" w:rsidP="009C6B40">
      <w:pPr>
        <w:pStyle w:val="ListBullet"/>
      </w:pPr>
      <w:r w:rsidRPr="009C6B40">
        <w:t>communication skills to interpret non-verbal communication such as hand signals.</w:t>
      </w: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7" w:name="O_1294427"/>
      <w:bookmarkEnd w:id="7"/>
      <w:r w:rsidRPr="009C6B40">
        <w:t>Unit Mapping Information</w:t>
      </w:r>
    </w:p>
    <w:p w:rsidR="00000000" w:rsidRPr="009C6B40" w:rsidP="00D90F85">
      <w:pPr>
        <w:pStyle w:val="BodyText"/>
      </w:pPr>
      <w:r w:rsidRPr="009C6B40">
        <w:t>Supersedes and is equivalent to CPCCDO3011A Perform dogging.</w:t>
      </w:r>
    </w:p>
    <w:p w:rsidR="00000000" w:rsidRPr="009C6B40" w:rsidP="009C6B40">
      <w:pPr>
        <w:pStyle w:val="Heading1"/>
      </w:pPr>
      <w:bookmarkStart w:id="8" w:name="O_1294434"/>
      <w:bookmarkEnd w:id="8"/>
      <w:r w:rsidRPr="009C6B40">
        <w:t>Links</w:t>
      </w:r>
    </w:p>
    <w:p w:rsidR="00000000" w:rsidRPr="009C6B40" w:rsidP="00D90F85">
      <w:pPr>
        <w:pStyle w:val="BodyText"/>
      </w:pPr>
      <w:r w:rsidRPr="009C6B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65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6B40" w:rsidP="00D90F85">
      <w:pPr>
        <w:pStyle w:val="BodyText"/>
        <w:sectPr w:rsidSect="009C6B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B40" w:rsidP="009C6B40">
      <w:pPr>
        <w:pStyle w:val="SuperHeading"/>
      </w:pPr>
      <w:r w:rsidRPr="009C6B40">
        <w:t>Assessment Requirements for CPCCDO3011 Perform dogging</w:t>
      </w:r>
    </w:p>
    <w:p w:rsidR="00000000" w:rsidRPr="009C6B40" w:rsidP="009C6B40">
      <w:pPr>
        <w:pStyle w:val="Heading1"/>
      </w:pPr>
      <w:bookmarkStart w:id="9" w:name="O_1294425"/>
      <w:bookmarkEnd w:id="9"/>
      <w:r w:rsidRPr="009C6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Updated reference to general construction induction training program.</w:t>
            </w:r>
          </w:p>
        </w:tc>
      </w:tr>
      <w:tr w:rsidTr="009C6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40">
            <w:pPr>
              <w:pStyle w:val="BodyText"/>
              <w:rPr>
                <w:lang w:val="en-NZ"/>
              </w:rPr>
            </w:pPr>
            <w:r w:rsidRPr="009C6B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40" w:rsidP="009C6B40">
            <w:pPr>
              <w:pStyle w:val="BodyText"/>
            </w:pPr>
            <w:r w:rsidRPr="009C6B40">
              <w:t>This version first released with CPC Construction, Plumbing and Services Training Package Release 5.0.</w:t>
            </w:r>
          </w:p>
          <w:p w:rsidR="00000000" w:rsidRPr="009C6B40" w:rsidP="009C6B40">
            <w:pPr>
              <w:pStyle w:val="BodyText"/>
            </w:pPr>
            <w:r w:rsidRPr="009C6B40">
              <w:t>Supersedes and is equivalent to CPCCDO3011A Perform dogging.  Updated to meet the Standards for Training Packages 2012.</w:t>
            </w:r>
          </w:p>
        </w:tc>
      </w:tr>
    </w:tbl>
    <w:p w:rsidR="00000000" w:rsidRPr="009C6B40" w:rsidP="009C6B40">
      <w:pPr>
        <w:pStyle w:val="BodyText"/>
      </w:pP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10" w:name="O_1294424"/>
      <w:bookmarkEnd w:id="10"/>
      <w:r w:rsidRPr="009C6B40">
        <w:t xml:space="preserve">Performance </w:t>
      </w:r>
      <w:r w:rsidRPr="009C6B40">
        <w:t>Evidence</w:t>
      </w:r>
    </w:p>
    <w:p w:rsidR="00000000" w:rsidRPr="009C6B40" w:rsidP="00D90F85">
      <w:pPr>
        <w:pStyle w:val="BodyText"/>
      </w:pPr>
      <w:r w:rsidRPr="009C6B40">
        <w:t>To demonstrate competency in this unit, a candidate must meet the elements and performance criteria by performing dogging to sling, load, direct and land three loads including:</w:t>
      </w:r>
    </w:p>
    <w:p w:rsidR="00000000" w:rsidRPr="009C6B40" w:rsidP="009C6B40">
      <w:pPr>
        <w:pStyle w:val="ListBullet"/>
      </w:pPr>
      <w:r w:rsidRPr="009C6B40">
        <w:t>one flexible load with a minimum of three lifting points</w:t>
      </w:r>
    </w:p>
    <w:p w:rsidR="00000000" w:rsidRPr="009C6B40" w:rsidP="009C6B40">
      <w:pPr>
        <w:pStyle w:val="ListBullet"/>
      </w:pPr>
      <w:r w:rsidRPr="009C6B40">
        <w:t>one load out</w:t>
      </w:r>
      <w:r w:rsidRPr="009C6B40">
        <w:t xml:space="preserve"> of sight of the lifting device operator.</w:t>
      </w: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11" w:name="O_1294423"/>
      <w:bookmarkEnd w:id="11"/>
      <w:r w:rsidRPr="009C6B40">
        <w:t>Knowledge Evidence</w:t>
      </w:r>
    </w:p>
    <w:p w:rsidR="00000000" w:rsidRPr="009C6B40" w:rsidP="00D90F85">
      <w:pPr>
        <w:pStyle w:val="BodyText"/>
      </w:pPr>
      <w:r w:rsidRPr="009C6B40">
        <w:t xml:space="preserve">To be competent in this unit, a candidate must demonstrate knowledge of: </w:t>
      </w:r>
    </w:p>
    <w:p w:rsidR="00000000" w:rsidRPr="009C6B40" w:rsidP="009C6B40">
      <w:pPr>
        <w:pStyle w:val="ListBullet"/>
      </w:pPr>
      <w:r w:rsidRPr="009C6B40">
        <w:t xml:space="preserve">workplace and regulatory requirements for performing dogging under applicable Commonwealth, state or </w:t>
      </w:r>
      <w:r w:rsidRPr="009C6B40">
        <w:t>territory work health and safety (WHS) legislation, Australian Standards and codes of practice:</w:t>
      </w:r>
    </w:p>
    <w:p w:rsidR="00000000" w:rsidRPr="009C6B40" w:rsidP="009C6B40">
      <w:pPr>
        <w:pStyle w:val="ListBullet2"/>
      </w:pPr>
      <w:r w:rsidRPr="009C6B40">
        <w:t xml:space="preserve">job safety and environmental analyses (JSEAs) </w:t>
      </w:r>
    </w:p>
    <w:p w:rsidR="00000000" w:rsidRPr="009C6B40" w:rsidP="009C6B40">
      <w:pPr>
        <w:pStyle w:val="ListBullet2"/>
      </w:pPr>
      <w:r w:rsidRPr="009C6B40">
        <w:t>safe work method statements (SWMSs)</w:t>
      </w:r>
    </w:p>
    <w:p w:rsidR="00000000" w:rsidRPr="009C6B40" w:rsidP="009C6B40">
      <w:pPr>
        <w:pStyle w:val="ListBullet2"/>
      </w:pPr>
      <w:r w:rsidRPr="009C6B40">
        <w:t>safety data sheets (SDSs)</w:t>
      </w:r>
    </w:p>
    <w:p w:rsidR="00000000" w:rsidRPr="009C6B40" w:rsidP="009C6B40">
      <w:pPr>
        <w:pStyle w:val="ListBullet2"/>
      </w:pPr>
      <w:r w:rsidRPr="009C6B40">
        <w:t>safety manuals and instructions for plant, tools a</w:t>
      </w:r>
      <w:r w:rsidRPr="009C6B40">
        <w:t>nd equipment</w:t>
      </w:r>
    </w:p>
    <w:p w:rsidR="00000000" w:rsidRPr="009C6B40" w:rsidP="009C6B40">
      <w:pPr>
        <w:pStyle w:val="ListBullet2"/>
      </w:pPr>
      <w:r w:rsidRPr="009C6B40">
        <w:t>signage and barricades</w:t>
      </w:r>
    </w:p>
    <w:p w:rsidR="00000000" w:rsidRPr="009C6B40" w:rsidP="009C6B40">
      <w:pPr>
        <w:pStyle w:val="ListBullet2"/>
      </w:pPr>
      <w:r w:rsidRPr="009C6B40">
        <w:t>personal protective equipment (PPE)</w:t>
      </w:r>
    </w:p>
    <w:p w:rsidR="00000000" w:rsidRPr="009C6B40" w:rsidP="009C6B40">
      <w:pPr>
        <w:pStyle w:val="ListBullet2"/>
      </w:pPr>
      <w:r w:rsidRPr="009C6B40">
        <w:t>environmental and worksite safety plans</w:t>
      </w:r>
    </w:p>
    <w:p w:rsidR="00000000" w:rsidRPr="009C6B40" w:rsidP="009C6B40">
      <w:pPr>
        <w:pStyle w:val="ListBullet2"/>
      </w:pPr>
      <w:r w:rsidRPr="009C6B40">
        <w:t>reporting problems</w:t>
      </w:r>
    </w:p>
    <w:p w:rsidR="00000000" w:rsidRPr="009C6B40" w:rsidP="009C6B40">
      <w:pPr>
        <w:pStyle w:val="ListBullet"/>
      </w:pPr>
      <w:r w:rsidRPr="009C6B40">
        <w:t>mathematical processes for calculating load mass</w:t>
      </w:r>
    </w:p>
    <w:p w:rsidR="00000000" w:rsidRPr="009C6B40" w:rsidP="009C6B40">
      <w:pPr>
        <w:pStyle w:val="ListBullet"/>
      </w:pPr>
      <w:r w:rsidRPr="009C6B40">
        <w:t>assessment of weather and ground conditions relating to performing dogging</w:t>
      </w:r>
    </w:p>
    <w:p w:rsidR="00000000" w:rsidRPr="009C6B40" w:rsidP="009C6B40">
      <w:pPr>
        <w:pStyle w:val="ListBullet"/>
      </w:pPr>
      <w:r w:rsidRPr="009C6B40">
        <w:t>types, characteristics, uses and limitations of dogging and lifting equipment</w:t>
      </w:r>
    </w:p>
    <w:p w:rsidR="00000000" w:rsidRPr="009C6B40" w:rsidP="009C6B40">
      <w:pPr>
        <w:pStyle w:val="ListBullet"/>
      </w:pPr>
      <w:r w:rsidRPr="009C6B40">
        <w:t>load-slinging techniques</w:t>
      </w:r>
    </w:p>
    <w:p w:rsidR="00000000" w:rsidRPr="009C6B40" w:rsidP="009C6B40">
      <w:pPr>
        <w:pStyle w:val="ListBullet"/>
      </w:pPr>
      <w:r w:rsidRPr="009C6B40">
        <w:t>dogging techniques</w:t>
      </w:r>
    </w:p>
    <w:p w:rsidR="00000000" w:rsidRPr="009C6B40" w:rsidP="009C6B40">
      <w:pPr>
        <w:pStyle w:val="ListBullet"/>
      </w:pPr>
      <w:r w:rsidRPr="009C6B40">
        <w:t>safe working load tags</w:t>
      </w:r>
    </w:p>
    <w:p w:rsidR="00000000" w:rsidRPr="009C6B40" w:rsidP="009C6B40">
      <w:pPr>
        <w:pStyle w:val="ListBullet"/>
      </w:pPr>
      <w:r w:rsidRPr="009C6B40">
        <w:t>lifting equipment operations and limitations</w:t>
      </w:r>
    </w:p>
    <w:p w:rsidR="00000000" w:rsidRPr="009C6B40" w:rsidP="009C6B40">
      <w:pPr>
        <w:pStyle w:val="ListBullet"/>
      </w:pPr>
      <w:r w:rsidRPr="009C6B40">
        <w:t>signalling methods</w:t>
      </w:r>
    </w:p>
    <w:p w:rsidR="00000000" w:rsidRPr="009C6B40" w:rsidP="009C6B40">
      <w:pPr>
        <w:pStyle w:val="ListBullet"/>
      </w:pPr>
      <w:r w:rsidRPr="009C6B40">
        <w:t>safe working at heights requirements and fall arrest systems</w:t>
      </w:r>
    </w:p>
    <w:p w:rsidR="00000000" w:rsidRPr="009C6B40" w:rsidP="009C6B40">
      <w:pPr>
        <w:pStyle w:val="ListBullet"/>
      </w:pPr>
      <w:r w:rsidRPr="009C6B40">
        <w:t>processes for completion of logbooks and site records</w:t>
      </w:r>
    </w:p>
    <w:p w:rsidR="00000000" w:rsidRPr="009C6B40" w:rsidP="009C6B40">
      <w:pPr>
        <w:pStyle w:val="ListBullet"/>
      </w:pPr>
      <w:r w:rsidRPr="009C6B40">
        <w:t>requirements for cleaning up work area, maintaining and storing tools, equipment and materials, and for environmentally friendly waste manage</w:t>
      </w:r>
      <w:r w:rsidRPr="009C6B40">
        <w:t>ment.</w:t>
      </w: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12" w:name="O_1294422"/>
      <w:bookmarkEnd w:id="12"/>
      <w:r w:rsidRPr="009C6B40">
        <w:t>Assessment Conditions</w:t>
      </w:r>
    </w:p>
    <w:p w:rsidR="00000000" w:rsidRPr="009C6B40" w:rsidP="00D90F85">
      <w:pPr>
        <w:pStyle w:val="BodyText"/>
      </w:pPr>
      <w:r w:rsidRPr="009C6B40">
        <w:t xml:space="preserve">Assessors must meet the requirements for assessors outlined in the Standards for Registered Training Organisations. </w:t>
      </w:r>
    </w:p>
    <w:p w:rsidR="00000000" w:rsidRPr="009C6B40" w:rsidP="00D90F85">
      <w:pPr>
        <w:pStyle w:val="BodyText"/>
      </w:pPr>
      <w:r w:rsidRPr="009C6B40">
        <w:t>Assessment must be conducted in the workplace or a simulated workplace using realistic condi</w:t>
      </w:r>
      <w:r w:rsidRPr="009C6B40">
        <w:t>tions, materials, activities, responsibilities, procedures, safety requirements and environmental considerations.</w:t>
      </w:r>
    </w:p>
    <w:p w:rsidR="00000000" w:rsidRPr="009C6B40" w:rsidP="00D90F85">
      <w:pPr>
        <w:pStyle w:val="BodyText"/>
      </w:pPr>
      <w:r w:rsidRPr="009C6B40">
        <w:t>Candidates must have access to:</w:t>
      </w:r>
    </w:p>
    <w:p w:rsidR="00000000" w:rsidRPr="009C6B40" w:rsidP="009C6B40">
      <w:pPr>
        <w:pStyle w:val="ListBullet"/>
      </w:pPr>
      <w:r w:rsidRPr="009C6B40">
        <w:t>industry-standard equipment required to perform the tasks specified in the Performance Evidence</w:t>
      </w:r>
    </w:p>
    <w:p w:rsidR="00000000" w:rsidRPr="009C6B40" w:rsidP="009C6B40">
      <w:pPr>
        <w:pStyle w:val="ListBullet"/>
      </w:pPr>
      <w:r w:rsidRPr="009C6B40">
        <w:t>appropriate w</w:t>
      </w:r>
      <w:r w:rsidRPr="009C6B40">
        <w:t>orkplace information and records, including policies, procedures and legislative requirements.</w:t>
      </w:r>
    </w:p>
    <w:p w:rsidR="00000000" w:rsidRPr="009C6B40" w:rsidP="009C6B40">
      <w:pPr>
        <w:pStyle w:val="AllowPageBreak"/>
      </w:pPr>
    </w:p>
    <w:p w:rsidR="00000000" w:rsidRPr="009C6B40" w:rsidP="009C6B40">
      <w:pPr>
        <w:pStyle w:val="Heading1"/>
      </w:pPr>
      <w:bookmarkStart w:id="13" w:name="O_1294435"/>
      <w:bookmarkEnd w:id="13"/>
      <w:r w:rsidRPr="009C6B40">
        <w:t>Links</w:t>
      </w:r>
    </w:p>
    <w:p w:rsidR="00000000" w:rsidRPr="009C6B40" w:rsidP="00D90F85">
      <w:pPr>
        <w:pStyle w:val="BodyText"/>
      </w:pPr>
      <w:r w:rsidRPr="009C6B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655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6B40" w:rsidP="009C6B40"/>
    <w:sectPr w:rsidSect="009C6B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 w:rsidRPr="00D90F85" w:rsidP="00D90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85" w:rsidP="009C6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F85" w:rsidP="009C6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0F85" w:rsidP="009C6B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 w:rsidP="009C6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F85">
      <w:t>Approved</w:t>
    </w:r>
    <w:r w:rsidR="00D90F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F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F85">
      <w:rPr>
        <w:noProof/>
      </w:rPr>
      <w:t>4</w:t>
    </w:r>
    <w:r>
      <w:rPr>
        <w:noProof/>
      </w:rPr>
      <w:fldChar w:fldCharType="end"/>
    </w:r>
  </w:p>
  <w:p w:rsidR="009C6B40" w:rsidP="009C6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F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F85">
      <w:t>BuildSkills Australia</w:t>
    </w:r>
    <w:r w:rsidR="00D90F85">
      <w:fldChar w:fldCharType="end"/>
    </w:r>
  </w:p>
  <w:p w:rsidR="009C6B40" w:rsidP="009C6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B40" w:rsidRPr="00D90F85" w:rsidP="00D90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85" w:rsidRPr="002D2AF8" w:rsidP="009C6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CPCCDO3011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0F85" w:rsidP="009C6B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40" w:rsidRPr="002D2AF8" w:rsidP="009C6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F85">
      <w:t>CPCCDO3011 Perform dogging</w:t>
    </w:r>
    <w:r w:rsidR="00D90F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F85">
      <w:rPr>
        <w:noProof/>
      </w:rPr>
      <w:t>2 March 2025</w:t>
    </w:r>
    <w:r>
      <w:fldChar w:fldCharType="end"/>
    </w:r>
  </w:p>
  <w:p w:rsidR="009C6B40" w:rsidP="009C6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6C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EC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D0A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B40"/>
  </w:style>
  <w:style w:type="character" w:customStyle="1" w:styleId="Heading1Char">
    <w:name w:val="Heading 1 Char"/>
    <w:basedOn w:val="DefaultParagraphFont"/>
    <w:link w:val="Heading1"/>
    <w:rsid w:val="009C6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B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B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6B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B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B40"/>
    <w:rPr>
      <w:b/>
      <w:spacing w:val="0"/>
    </w:rPr>
  </w:style>
  <w:style w:type="paragraph" w:customStyle="1" w:styleId="SuperTitle">
    <w:name w:val="SuperTitle"/>
    <w:basedOn w:val="Title"/>
    <w:rsid w:val="009C6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B40"/>
    <w:rPr>
      <w:i/>
    </w:rPr>
  </w:style>
  <w:style w:type="paragraph" w:styleId="Caption">
    <w:name w:val="caption"/>
    <w:basedOn w:val="BodyText"/>
    <w:next w:val="Normal"/>
    <w:qFormat/>
    <w:rsid w:val="009C6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B40"/>
  </w:style>
  <w:style w:type="paragraph" w:styleId="TableofFigures">
    <w:name w:val="table of figures"/>
    <w:basedOn w:val="Normal"/>
    <w:next w:val="Normal"/>
    <w:semiHidden/>
    <w:rsid w:val="009C6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B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B40"/>
    <w:rPr>
      <w:rFonts w:ascii="Wingdings" w:hAnsi="Wingdings"/>
    </w:rPr>
  </w:style>
  <w:style w:type="paragraph" w:customStyle="1" w:styleId="TableHeading">
    <w:name w:val="Table Heading"/>
    <w:basedOn w:val="HeadingBase"/>
    <w:rsid w:val="009C6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B40"/>
    <w:rPr>
      <w:color w:val="0033CC"/>
      <w:u w:val="none"/>
    </w:rPr>
  </w:style>
  <w:style w:type="paragraph" w:customStyle="1" w:styleId="BodyTextRight">
    <w:name w:val="Body Text Right"/>
    <w:basedOn w:val="BodyText"/>
    <w:rsid w:val="009C6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B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B40"/>
    <w:rPr>
      <w:sz w:val="32"/>
    </w:rPr>
  </w:style>
  <w:style w:type="paragraph" w:customStyle="1" w:styleId="HeadingProcedure">
    <w:name w:val="Heading Procedure"/>
    <w:basedOn w:val="HeadingBase"/>
    <w:next w:val="Normal"/>
    <w:rsid w:val="009C6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B40"/>
    <w:pPr>
      <w:spacing w:before="60" w:after="60"/>
    </w:pPr>
  </w:style>
  <w:style w:type="paragraph" w:styleId="ListContinue">
    <w:name w:val="List Continue"/>
    <w:basedOn w:val="List"/>
    <w:rsid w:val="009C6B40"/>
    <w:pPr>
      <w:ind w:firstLine="0"/>
    </w:pPr>
  </w:style>
  <w:style w:type="paragraph" w:customStyle="1" w:styleId="ListNote">
    <w:name w:val="List Note"/>
    <w:basedOn w:val="List"/>
    <w:rsid w:val="009C6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B40"/>
    <w:rPr>
      <w:rFonts w:ascii="Courier New" w:hAnsi="Courier New"/>
    </w:rPr>
  </w:style>
  <w:style w:type="paragraph" w:customStyle="1" w:styleId="NoteBullet">
    <w:name w:val="Note Bullet"/>
    <w:basedOn w:val="Note"/>
    <w:rsid w:val="009C6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B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B40"/>
    <w:rPr>
      <w:b/>
      <w:smallCaps/>
    </w:rPr>
  </w:style>
  <w:style w:type="paragraph" w:customStyle="1" w:styleId="TableListNumber">
    <w:name w:val="Table List Number"/>
    <w:basedOn w:val="ListNumber"/>
    <w:rsid w:val="009C6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B40"/>
    <w:pPr>
      <w:numPr>
        <w:numId w:val="9"/>
      </w:numPr>
    </w:pPr>
  </w:style>
  <w:style w:type="paragraph" w:customStyle="1" w:styleId="ListAlpha2">
    <w:name w:val="List Alpha 2"/>
    <w:basedOn w:val="List2"/>
    <w:rsid w:val="009C6B40"/>
    <w:pPr>
      <w:numPr>
        <w:numId w:val="8"/>
      </w:numPr>
    </w:pPr>
  </w:style>
  <w:style w:type="paragraph" w:styleId="List2">
    <w:name w:val="List 2"/>
    <w:basedOn w:val="BodyText"/>
    <w:rsid w:val="009C6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B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B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B40"/>
    <w:pPr>
      <w:numPr>
        <w:numId w:val="4"/>
      </w:numPr>
    </w:pPr>
  </w:style>
  <w:style w:type="paragraph" w:styleId="ListContinue2">
    <w:name w:val="List Continue 2"/>
    <w:basedOn w:val="List2"/>
    <w:rsid w:val="009C6B40"/>
    <w:pPr>
      <w:ind w:firstLine="0"/>
    </w:pPr>
  </w:style>
  <w:style w:type="paragraph" w:styleId="ListContinue3">
    <w:name w:val="List Continue 3"/>
    <w:basedOn w:val="List3"/>
    <w:rsid w:val="009C6B40"/>
    <w:pPr>
      <w:ind w:left="1021" w:firstLine="0"/>
    </w:pPr>
  </w:style>
  <w:style w:type="paragraph" w:styleId="ListContinue4">
    <w:name w:val="List Continue 4"/>
    <w:basedOn w:val="List4"/>
    <w:rsid w:val="009C6B40"/>
    <w:pPr>
      <w:ind w:firstLine="0"/>
    </w:pPr>
  </w:style>
  <w:style w:type="paragraph" w:styleId="ListContinue5">
    <w:name w:val="List Continue 5"/>
    <w:basedOn w:val="List5"/>
    <w:rsid w:val="009C6B40"/>
    <w:pPr>
      <w:ind w:firstLine="0"/>
    </w:pPr>
  </w:style>
  <w:style w:type="paragraph" w:styleId="ListNumber3">
    <w:name w:val="List Number 3"/>
    <w:basedOn w:val="List3"/>
    <w:rsid w:val="009C6B40"/>
    <w:pPr>
      <w:numPr>
        <w:numId w:val="5"/>
      </w:numPr>
    </w:pPr>
  </w:style>
  <w:style w:type="paragraph" w:styleId="ListNumber4">
    <w:name w:val="List Number 4"/>
    <w:basedOn w:val="List4"/>
    <w:rsid w:val="009C6B40"/>
    <w:pPr>
      <w:numPr>
        <w:numId w:val="6"/>
      </w:numPr>
    </w:pPr>
  </w:style>
  <w:style w:type="paragraph" w:styleId="ListNumber5">
    <w:name w:val="List Number 5"/>
    <w:basedOn w:val="List5"/>
    <w:rsid w:val="009C6B40"/>
    <w:pPr>
      <w:numPr>
        <w:numId w:val="7"/>
      </w:numPr>
    </w:pPr>
  </w:style>
  <w:style w:type="paragraph" w:styleId="BlockText">
    <w:name w:val="Block Text"/>
    <w:basedOn w:val="Normal"/>
    <w:rsid w:val="009C6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B40"/>
    <w:rPr>
      <w:sz w:val="16"/>
      <w:vertAlign w:val="superscript"/>
    </w:rPr>
  </w:style>
  <w:style w:type="character" w:customStyle="1" w:styleId="Symbols">
    <w:name w:val="Symbols"/>
    <w:basedOn w:val="DefaultParagraphFont"/>
    <w:rsid w:val="009C6B40"/>
    <w:rPr>
      <w:rFonts w:ascii="Symbol" w:hAnsi="Symbol"/>
    </w:rPr>
  </w:style>
  <w:style w:type="character" w:customStyle="1" w:styleId="MenuOptions">
    <w:name w:val="Menu Options"/>
    <w:basedOn w:val="DefaultParagraphFont"/>
    <w:rsid w:val="009C6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B40"/>
    <w:rPr>
      <w:b/>
    </w:rPr>
  </w:style>
  <w:style w:type="character" w:customStyle="1" w:styleId="Underlined">
    <w:name w:val="Underlined"/>
    <w:basedOn w:val="DefaultParagraphFont"/>
    <w:rsid w:val="009C6B40"/>
    <w:rPr>
      <w:u w:val="single"/>
    </w:rPr>
  </w:style>
  <w:style w:type="paragraph" w:customStyle="1" w:styleId="TableBodyTextRight">
    <w:name w:val="Table Body Text Right"/>
    <w:basedOn w:val="TableBodyText"/>
    <w:rsid w:val="009C6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B40"/>
    <w:rPr>
      <w:sz w:val="18"/>
    </w:rPr>
  </w:style>
  <w:style w:type="paragraph" w:customStyle="1" w:styleId="BodySmallRight">
    <w:name w:val="Body Small Right"/>
    <w:basedOn w:val="BodyTextRight"/>
    <w:rsid w:val="009C6B40"/>
    <w:rPr>
      <w:sz w:val="18"/>
      <w:szCs w:val="18"/>
    </w:rPr>
  </w:style>
  <w:style w:type="paragraph" w:customStyle="1" w:styleId="MarginEdition">
    <w:name w:val="Margin Edition"/>
    <w:basedOn w:val="MarginNote"/>
    <w:rsid w:val="009C6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B40"/>
    <w:rPr>
      <w:sz w:val="2"/>
      <w:szCs w:val="2"/>
    </w:rPr>
  </w:style>
  <w:style w:type="character" w:customStyle="1" w:styleId="Small">
    <w:name w:val="Small"/>
    <w:basedOn w:val="DefaultParagraphFont"/>
    <w:rsid w:val="009C6B40"/>
    <w:rPr>
      <w:sz w:val="16"/>
    </w:rPr>
  </w:style>
  <w:style w:type="paragraph" w:customStyle="1" w:styleId="WideTable">
    <w:name w:val="Wide Table"/>
    <w:basedOn w:val="Normal"/>
    <w:rsid w:val="009C6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B40"/>
  </w:style>
  <w:style w:type="paragraph" w:styleId="Quote">
    <w:name w:val="Quote"/>
    <w:basedOn w:val="Heading1"/>
    <w:link w:val="QuoteChar"/>
    <w:qFormat/>
    <w:rsid w:val="009C6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B40"/>
    <w:pPr>
      <w:pageBreakBefore/>
    </w:pPr>
  </w:style>
  <w:style w:type="paragraph" w:customStyle="1" w:styleId="Border">
    <w:name w:val="Border"/>
    <w:basedOn w:val="Normal"/>
    <w:qFormat/>
    <w:rsid w:val="009C6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B40"/>
    <w:rPr>
      <w:u w:val="single"/>
    </w:rPr>
  </w:style>
  <w:style w:type="character" w:customStyle="1" w:styleId="BoldandItalics">
    <w:name w:val="Bold and Italics"/>
    <w:qFormat/>
    <w:rsid w:val="009C6B40"/>
    <w:rPr>
      <w:b/>
      <w:i/>
      <w:u w:val="none"/>
    </w:rPr>
  </w:style>
  <w:style w:type="paragraph" w:styleId="BalloonText">
    <w:name w:val="Balloon Text"/>
    <w:basedOn w:val="Normal"/>
    <w:link w:val="BalloonTextChar"/>
    <w:rsid w:val="009C6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B40"/>
    <w:pPr>
      <w:spacing w:before="0" w:after="0"/>
    </w:pPr>
  </w:style>
  <w:style w:type="paragraph" w:customStyle="1" w:styleId="BodyTextBold">
    <w:name w:val="Body Text Bold"/>
    <w:basedOn w:val="BodyText"/>
    <w:qFormat/>
    <w:rsid w:val="009C6B40"/>
    <w:rPr>
      <w:b/>
    </w:rPr>
  </w:style>
  <w:style w:type="character" w:styleId="Hyperlink">
    <w:name w:val="Hyperlink"/>
    <w:basedOn w:val="DefaultParagraphFont"/>
    <w:uiPriority w:val="99"/>
    <w:unhideWhenUsed/>
    <w:rsid w:val="00D90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5974</Characters>
  <Application>Microsoft Office Word</Application>
  <DocSecurity>0</DocSecurity>
  <Lines>221</Lines>
  <Paragraphs>135</Paragraphs>
  <ScaleCrop>false</ScaleCrop>
  <Company>Author-it Software Corporation Ltd.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CPCCDO3011 Perform dogging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