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7A4" w:rsidP="00D3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CPCCDO2011 Handle and position dogging tools and equipment</w:t>
      </w:r>
      <w:r>
        <w:fldChar w:fldCharType="end"/>
      </w:r>
    </w:p>
    <w:p w:rsidR="00D327A4" w:rsidP="00D327A4">
      <w:pPr>
        <w:pStyle w:val="Version"/>
        <w:sectPr w:rsidSect="00D40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090B" w:rsidP="00D4090B">
      <w:pPr>
        <w:pStyle w:val="SuperHeading"/>
      </w:pPr>
      <w:r w:rsidRPr="00D4090B">
        <w:t>CPCCDO2011 Handle and position dogging tools and equipment</w:t>
      </w:r>
    </w:p>
    <w:p w:rsidR="00000000" w:rsidRPr="00D4090B" w:rsidP="00D4090B">
      <w:pPr>
        <w:pStyle w:val="Heading1"/>
      </w:pPr>
      <w:bookmarkStart w:id="1" w:name="O_1294465"/>
      <w:bookmarkEnd w:id="1"/>
      <w:r w:rsidRPr="00D40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Updated reference to general construction induction training program.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0B" w:rsidP="00D4090B">
            <w:pPr>
              <w:pStyle w:val="BodyText"/>
            </w:pPr>
            <w:r w:rsidRPr="00D4090B">
              <w:t>This version first released with CPC Construction, Plumbing and Services Training Package Release 5.0.</w:t>
            </w:r>
          </w:p>
          <w:p w:rsidR="00000000" w:rsidRPr="00D4090B" w:rsidP="00D4090B">
            <w:pPr>
              <w:pStyle w:val="BodyText"/>
            </w:pPr>
            <w:r w:rsidRPr="00D4090B">
              <w:t>Supersedes and is equiv</w:t>
            </w:r>
            <w:r w:rsidRPr="00D4090B">
              <w:t>alent to CPCCDO2011A Handle and use dogging tools and equipment.  Updated to meet the Standards for Training Packages 2012.</w:t>
            </w:r>
          </w:p>
        </w:tc>
      </w:tr>
    </w:tbl>
    <w:p w:rsidR="00000000" w:rsidRPr="00D4090B" w:rsidP="00D4090B">
      <w:pPr>
        <w:pStyle w:val="BodyText"/>
      </w:pPr>
    </w:p>
    <w:p w:rsidR="00000000" w:rsidRPr="00D4090B" w:rsidP="00D4090B">
      <w:pPr>
        <w:pStyle w:val="AllowPageBreak"/>
      </w:pPr>
    </w:p>
    <w:p w:rsidR="00000000" w:rsidRPr="00D4090B" w:rsidP="00D4090B">
      <w:pPr>
        <w:pStyle w:val="Heading1"/>
      </w:pPr>
      <w:bookmarkStart w:id="2" w:name="O_1294464"/>
      <w:bookmarkEnd w:id="2"/>
      <w:r w:rsidRPr="00D4090B">
        <w:t>Application</w:t>
      </w:r>
    </w:p>
    <w:p w:rsidR="00000000" w:rsidRPr="00D4090B" w:rsidP="00D327A4">
      <w:pPr>
        <w:pStyle w:val="BodyText"/>
      </w:pPr>
      <w:r w:rsidRPr="00D4090B">
        <w:t>This unit specifies the skills and knowledge required to handle and locate dogging tools and equipm</w:t>
      </w:r>
      <w:r w:rsidRPr="00D4090B">
        <w:t>ent. It includes selecting, moving, locating, positioning and storing dogging tools and equipment.</w:t>
      </w:r>
    </w:p>
    <w:p w:rsidR="00000000" w:rsidRPr="00D4090B" w:rsidP="00D327A4">
      <w:pPr>
        <w:pStyle w:val="BodyText"/>
      </w:pPr>
      <w:r w:rsidRPr="00D4090B">
        <w:t>It applies to those who work under the direction of more experienced workers to support dogging activities.</w:t>
      </w:r>
    </w:p>
    <w:p w:rsidR="00000000" w:rsidRPr="00D4090B" w:rsidP="00D327A4">
      <w:pPr>
        <w:pStyle w:val="BodyText"/>
      </w:pPr>
      <w:r w:rsidRPr="00D4090B">
        <w:t xml:space="preserve">Completion of the general construction induction </w:t>
      </w:r>
      <w:r w:rsidRPr="00D4090B">
        <w:t xml:space="preserve">training program, specified in the Safe Work Australia model </w:t>
      </w:r>
      <w:r w:rsidRPr="00D4090B">
        <w:rPr>
          <w:rStyle w:val="Emphasis"/>
        </w:rPr>
        <w:t>Code of Practice: Construction Work</w:t>
      </w:r>
      <w:r w:rsidRPr="00D4090B">
        <w:t xml:space="preserve">, is required by anyone carrying out construction work. Achievement of </w:t>
      </w:r>
      <w:r w:rsidRPr="00D4090B">
        <w:rPr>
          <w:rStyle w:val="Emphasis"/>
        </w:rPr>
        <w:t>CPCWHS1001</w:t>
      </w:r>
      <w:r w:rsidRPr="00D4090B">
        <w:t xml:space="preserve"> </w:t>
      </w:r>
      <w:r w:rsidRPr="00D4090B">
        <w:rPr>
          <w:rStyle w:val="Emphasis"/>
        </w:rPr>
        <w:t xml:space="preserve">Prepare to work safely in the construction industry </w:t>
      </w:r>
      <w:r w:rsidRPr="00D4090B">
        <w:t>meets this requirement.</w:t>
      </w:r>
    </w:p>
    <w:p w:rsidR="00000000" w:rsidRPr="00D4090B" w:rsidP="00D327A4">
      <w:pPr>
        <w:pStyle w:val="BodyText"/>
      </w:pPr>
      <w:r w:rsidRPr="00D4090B">
        <w:t>No</w:t>
      </w:r>
      <w:r w:rsidRPr="00D4090B">
        <w:t xml:space="preserve"> licensing, legislative or certification requirements apply to this unit at the time of publication.</w:t>
      </w:r>
    </w:p>
    <w:p w:rsidR="00000000" w:rsidRPr="00D4090B" w:rsidP="00D4090B">
      <w:pPr>
        <w:pStyle w:val="Heading1"/>
      </w:pPr>
      <w:bookmarkStart w:id="3" w:name="O_1294463"/>
      <w:bookmarkEnd w:id="3"/>
      <w:r w:rsidRPr="00D4090B">
        <w:t>Pre-requisite Unit</w:t>
      </w:r>
    </w:p>
    <w:p w:rsidR="00000000" w:rsidRPr="00D4090B" w:rsidP="00D327A4">
      <w:pPr>
        <w:pStyle w:val="BodyText"/>
      </w:pPr>
      <w:r w:rsidRPr="00D4090B">
        <w:t>CPCCWHS2001 Apply WHS requirements, policies and procedures in the construction industry</w:t>
      </w:r>
    </w:p>
    <w:p w:rsidR="00000000" w:rsidRPr="00D4090B" w:rsidP="00D4090B">
      <w:pPr>
        <w:pStyle w:val="Heading1"/>
      </w:pPr>
      <w:bookmarkStart w:id="4" w:name="O_1294462"/>
      <w:bookmarkEnd w:id="4"/>
      <w:r w:rsidRPr="00D4090B">
        <w:t>Unit Sect</w:t>
      </w:r>
      <w:r w:rsidRPr="00D4090B">
        <w:t>or</w:t>
      </w:r>
    </w:p>
    <w:p w:rsidR="00000000" w:rsidRPr="00D4090B" w:rsidP="00D327A4">
      <w:pPr>
        <w:pStyle w:val="BodyText"/>
      </w:pPr>
      <w:r w:rsidRPr="00D4090B">
        <w:t>Dogging</w:t>
      </w:r>
    </w:p>
    <w:p w:rsidR="00000000" w:rsidRPr="00D4090B" w:rsidP="00D4090B">
      <w:pPr>
        <w:pStyle w:val="Heading1"/>
      </w:pPr>
      <w:bookmarkStart w:id="5" w:name="O_1294461"/>
      <w:bookmarkEnd w:id="5"/>
      <w:r w:rsidRPr="00D409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Performance criteria describe what needs to be done to demonstrate achievement of the element.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 xml:space="preserve">Plan and prepare to </w:t>
            </w:r>
            <w:r w:rsidRPr="00D4090B">
              <w:t>handle, move and locate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 xml:space="preserve">Read work order and associated documentation and </w:t>
            </w:r>
            <w:r w:rsidRPr="00D4090B">
              <w:t>clarify work tasks with relevant persons.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Plan all work to comply with relevant legislation, regulations, standards, codes, work health and safety (WHS), environmental and workplace requirements.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Select dogging tools and equipment, check for serviceability and rectify or report identified f</w:t>
            </w:r>
            <w:r w:rsidRPr="00D4090B">
              <w:t>aults.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Select and fit personal protective equipment (PPE) appropriate for work activities.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Handle, move, sort and stack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Move dogging tools and equipment manually using safe manual handling techniques.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Stack or band dogging tools and equipment for mechanical handling in accordance with the type of material and the plant or equipment to be used.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Load, unload, move or locate dogging tools and equipment at specified location, assist mechanical handli</w:t>
            </w:r>
            <w:r w:rsidRPr="00D4090B">
              <w:t>ng equipment operator and ensure safe handling.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Sort dogging tools and equipment to suit load type and size, and stack for ease of identification and retrieval in accordance with task sequence and job location.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Protect dogging equipment and associated tools against physical and water damage, and store clear of access ways for ease of identification, retrieval and distribution.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Store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Use safe handling techniques to manually</w:t>
            </w:r>
            <w:r w:rsidRPr="00D4090B">
              <w:t xml:space="preserve"> or mechanical handle and move dogging tools and equipment to storage area after concluding dogging task.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0B" w:rsidP="00D4090B">
            <w:pPr>
              <w:pStyle w:val="BodyText"/>
            </w:pPr>
            <w:r w:rsidRPr="00D4090B">
              <w:t>Clean, check, maintain and store tools and equipment in accordance with manufacturer and workplace requirements.</w:t>
            </w:r>
          </w:p>
        </w:tc>
      </w:tr>
    </w:tbl>
    <w:p w:rsidR="00000000" w:rsidRPr="00D4090B" w:rsidP="00D4090B">
      <w:pPr>
        <w:pStyle w:val="BodyText"/>
      </w:pPr>
    </w:p>
    <w:p w:rsidR="00000000" w:rsidRPr="00D4090B" w:rsidP="00D4090B">
      <w:pPr>
        <w:pStyle w:val="AllowPageBreak"/>
      </w:pPr>
    </w:p>
    <w:p w:rsidR="00000000" w:rsidRPr="00D4090B" w:rsidP="00D4090B">
      <w:pPr>
        <w:pStyle w:val="Heading1"/>
      </w:pPr>
      <w:bookmarkStart w:id="6" w:name="O_1294460"/>
      <w:bookmarkEnd w:id="6"/>
      <w:r w:rsidRPr="00D4090B">
        <w:t>Foundation Skills</w:t>
      </w:r>
    </w:p>
    <w:p w:rsidR="00000000" w:rsidRPr="00D4090B" w:rsidP="00D327A4">
      <w:pPr>
        <w:pStyle w:val="BodyText"/>
      </w:pPr>
      <w:r w:rsidRPr="00D4090B">
        <w:t xml:space="preserve">Foundation skills essential to performance are explicit in the performance criteria of this unit of competency. </w:t>
      </w:r>
    </w:p>
    <w:p w:rsidR="00000000" w:rsidRPr="00D4090B" w:rsidP="00D4090B">
      <w:pPr>
        <w:pStyle w:val="Heading1"/>
      </w:pPr>
      <w:bookmarkStart w:id="7" w:name="O_1294459"/>
      <w:bookmarkEnd w:id="7"/>
      <w:r w:rsidRPr="00D4090B">
        <w:t>Unit Mapping Information</w:t>
      </w:r>
    </w:p>
    <w:p w:rsidR="00000000" w:rsidRPr="00D4090B" w:rsidP="00D327A4">
      <w:pPr>
        <w:pStyle w:val="BodyText"/>
      </w:pPr>
      <w:r w:rsidRPr="00D4090B">
        <w:t>Supersedes and is equivalent to CPCCDO2011A Handle and use dogging tools and equi</w:t>
      </w:r>
      <w:r w:rsidRPr="00D4090B">
        <w:t>pment.</w:t>
      </w:r>
    </w:p>
    <w:p w:rsidR="00000000" w:rsidRPr="00D4090B" w:rsidP="00D4090B">
      <w:pPr>
        <w:pStyle w:val="Heading1"/>
      </w:pPr>
      <w:bookmarkStart w:id="8" w:name="O_1294466"/>
      <w:bookmarkEnd w:id="8"/>
      <w:r w:rsidRPr="00D4090B">
        <w:t>Links</w:t>
      </w:r>
    </w:p>
    <w:p w:rsidR="00000000" w:rsidRPr="00D4090B" w:rsidP="00D327A4">
      <w:pPr>
        <w:pStyle w:val="BodyText"/>
      </w:pPr>
      <w:r w:rsidRPr="00D409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49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4090B" w:rsidP="00D327A4">
      <w:pPr>
        <w:pStyle w:val="BodyText"/>
        <w:sectPr w:rsidSect="00D409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090B" w:rsidP="00D4090B">
      <w:pPr>
        <w:pStyle w:val="SuperHeading"/>
      </w:pPr>
      <w:r w:rsidRPr="00D4090B">
        <w:t xml:space="preserve">Assessment </w:t>
      </w:r>
      <w:r w:rsidRPr="00D4090B">
        <w:t>Requirements for CPCCDO2011 Handle and position dogging tools and equipment</w:t>
      </w:r>
    </w:p>
    <w:p w:rsidR="00000000" w:rsidRPr="00D4090B" w:rsidP="00D4090B">
      <w:pPr>
        <w:pStyle w:val="Heading1"/>
      </w:pPr>
      <w:bookmarkStart w:id="9" w:name="O_1294457"/>
      <w:bookmarkEnd w:id="9"/>
      <w:r w:rsidRPr="00D40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Updated reference to general construction induction training program.</w:t>
            </w:r>
          </w:p>
        </w:tc>
      </w:tr>
      <w:tr w:rsidTr="00D40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90B">
            <w:pPr>
              <w:pStyle w:val="BodyText"/>
              <w:rPr>
                <w:lang w:val="en-NZ"/>
              </w:rPr>
            </w:pPr>
            <w:r w:rsidRPr="00D409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90B" w:rsidP="00D4090B">
            <w:pPr>
              <w:pStyle w:val="BodyText"/>
            </w:pPr>
            <w:r w:rsidRPr="00D4090B">
              <w:t>This version first released with CPC Construction,</w:t>
            </w:r>
            <w:r w:rsidRPr="00D4090B">
              <w:t xml:space="preserve"> Plumbing and Services Training Package Release 5.0.</w:t>
            </w:r>
          </w:p>
          <w:p w:rsidR="00000000" w:rsidRPr="00D4090B" w:rsidP="00D4090B">
            <w:pPr>
              <w:pStyle w:val="BodyText"/>
            </w:pPr>
            <w:r w:rsidRPr="00D4090B">
              <w:t>Supersedes and is equivalent to CPCCDO2011A Handle and use dogging tools and equipment.  Updated to meet the Standards for Training Packages 1012.</w:t>
            </w:r>
          </w:p>
        </w:tc>
      </w:tr>
    </w:tbl>
    <w:p w:rsidR="00000000" w:rsidRPr="00D4090B" w:rsidP="00D4090B">
      <w:pPr>
        <w:pStyle w:val="BodyText"/>
      </w:pPr>
    </w:p>
    <w:p w:rsidR="00000000" w:rsidRPr="00D4090B" w:rsidP="00D4090B">
      <w:pPr>
        <w:pStyle w:val="AllowPageBreak"/>
      </w:pPr>
    </w:p>
    <w:p w:rsidR="00000000" w:rsidRPr="00D4090B" w:rsidP="00D4090B">
      <w:pPr>
        <w:pStyle w:val="Heading1"/>
      </w:pPr>
      <w:bookmarkStart w:id="10" w:name="O_1294456"/>
      <w:bookmarkEnd w:id="10"/>
      <w:r w:rsidRPr="00D4090B">
        <w:t>Performance Evidence</w:t>
      </w:r>
    </w:p>
    <w:p w:rsidR="00000000" w:rsidRPr="00D4090B" w:rsidP="00D327A4">
      <w:pPr>
        <w:pStyle w:val="BodyText"/>
      </w:pPr>
      <w:r w:rsidRPr="00D4090B">
        <w:t>To demonstrate</w:t>
      </w:r>
      <w:r w:rsidRPr="00D4090B">
        <w:t xml:space="preserve"> competency in this unit, a candidate must meet the elements and performance criteria by handling and positioning dogging tools and equipment for three different dogging tasks.</w:t>
      </w:r>
    </w:p>
    <w:p w:rsidR="00000000" w:rsidRPr="00D4090B" w:rsidP="00D4090B">
      <w:pPr>
        <w:pStyle w:val="Heading1"/>
      </w:pPr>
      <w:bookmarkStart w:id="11" w:name="O_1294455"/>
      <w:bookmarkEnd w:id="11"/>
      <w:r w:rsidRPr="00D4090B">
        <w:t>Knowledge Evidence</w:t>
      </w:r>
    </w:p>
    <w:p w:rsidR="00000000" w:rsidRPr="00D4090B" w:rsidP="00D327A4">
      <w:pPr>
        <w:pStyle w:val="BodyText"/>
      </w:pPr>
      <w:r w:rsidRPr="00D4090B">
        <w:t xml:space="preserve">To be competent in this unit, a candidate must demonstrate knowledge of: </w:t>
      </w:r>
    </w:p>
    <w:p w:rsidR="00000000" w:rsidRPr="00D4090B" w:rsidP="00D4090B">
      <w:pPr>
        <w:pStyle w:val="ListBullet"/>
      </w:pPr>
      <w:r w:rsidRPr="00D4090B">
        <w:t>workplace and regulatory requirements for handling and positioning dogging tools and equipment under applicable Commonwealth, state or territory work health and safety (WHS) legisla</w:t>
      </w:r>
      <w:r w:rsidRPr="00D4090B">
        <w:t>tion and codes of practice:</w:t>
      </w:r>
    </w:p>
    <w:p w:rsidR="00000000" w:rsidRPr="00D4090B" w:rsidP="00D4090B">
      <w:pPr>
        <w:pStyle w:val="ListBullet2"/>
      </w:pPr>
      <w:r w:rsidRPr="00D4090B">
        <w:t xml:space="preserve">job safety and environmental analyses (JSEAs) </w:t>
      </w:r>
    </w:p>
    <w:p w:rsidR="00000000" w:rsidRPr="00D4090B" w:rsidP="00D4090B">
      <w:pPr>
        <w:pStyle w:val="ListBullet2"/>
      </w:pPr>
      <w:r w:rsidRPr="00D4090B">
        <w:t>safe work method statements (SWMSs)</w:t>
      </w:r>
    </w:p>
    <w:p w:rsidR="00000000" w:rsidRPr="00D4090B" w:rsidP="00D4090B">
      <w:pPr>
        <w:pStyle w:val="ListBullet2"/>
      </w:pPr>
      <w:r w:rsidRPr="00D4090B">
        <w:t>signage</w:t>
      </w:r>
    </w:p>
    <w:p w:rsidR="00000000" w:rsidRPr="00D4090B" w:rsidP="00D4090B">
      <w:pPr>
        <w:pStyle w:val="ListBullet2"/>
      </w:pPr>
      <w:r w:rsidRPr="00D4090B">
        <w:t>environmental and worksite safety plans</w:t>
      </w:r>
    </w:p>
    <w:p w:rsidR="00000000" w:rsidRPr="00D4090B" w:rsidP="00D4090B">
      <w:pPr>
        <w:pStyle w:val="ListBullet2"/>
      </w:pPr>
      <w:r w:rsidRPr="00D4090B">
        <w:t>reporting problems</w:t>
      </w:r>
    </w:p>
    <w:p w:rsidR="00000000" w:rsidRPr="00D4090B" w:rsidP="00D4090B">
      <w:pPr>
        <w:pStyle w:val="ListBullet"/>
      </w:pPr>
      <w:r w:rsidRPr="00D4090B">
        <w:t>interpreting task plans and specifications relating to safely handling and l</w:t>
      </w:r>
      <w:r w:rsidRPr="00D4090B">
        <w:t xml:space="preserve">ocating dogging tools and equipment </w:t>
      </w:r>
    </w:p>
    <w:p w:rsidR="00000000" w:rsidRPr="00D4090B" w:rsidP="00D4090B">
      <w:pPr>
        <w:pStyle w:val="ListBullet"/>
      </w:pPr>
      <w:r w:rsidRPr="00D4090B">
        <w:t>types, characteristics, uses and limitations of dogging tools and equipment:</w:t>
      </w:r>
    </w:p>
    <w:p w:rsidR="00000000" w:rsidRPr="00D4090B" w:rsidP="00D4090B">
      <w:pPr>
        <w:pStyle w:val="ListBullet2"/>
      </w:pPr>
      <w:r w:rsidRPr="00D4090B">
        <w:t>single leg slings</w:t>
      </w:r>
    </w:p>
    <w:p w:rsidR="00000000" w:rsidRPr="00D4090B" w:rsidP="00D4090B">
      <w:pPr>
        <w:pStyle w:val="ListBullet2"/>
      </w:pPr>
      <w:r w:rsidRPr="00D4090B">
        <w:t>four leg slings</w:t>
      </w:r>
    </w:p>
    <w:p w:rsidR="00000000" w:rsidRPr="00D4090B" w:rsidP="00D4090B">
      <w:pPr>
        <w:pStyle w:val="ListBullet2"/>
      </w:pPr>
      <w:r w:rsidRPr="00D4090B">
        <w:t>chain slings</w:t>
      </w:r>
    </w:p>
    <w:p w:rsidR="00000000" w:rsidRPr="00D4090B" w:rsidP="00D4090B">
      <w:pPr>
        <w:pStyle w:val="ListBullet2"/>
      </w:pPr>
      <w:r w:rsidRPr="00D4090B">
        <w:t>synthetic webbing slings</w:t>
      </w:r>
    </w:p>
    <w:p w:rsidR="00000000" w:rsidRPr="00D4090B" w:rsidP="00D4090B">
      <w:pPr>
        <w:pStyle w:val="ListBullet2"/>
      </w:pPr>
      <w:r w:rsidRPr="00D4090B">
        <w:t>two leg slings</w:t>
      </w:r>
    </w:p>
    <w:p w:rsidR="00000000" w:rsidRPr="00D4090B" w:rsidP="00D4090B">
      <w:pPr>
        <w:pStyle w:val="ListBullet2"/>
      </w:pPr>
      <w:r w:rsidRPr="00D4090B">
        <w:t>brick cages</w:t>
      </w:r>
    </w:p>
    <w:p w:rsidR="00000000" w:rsidRPr="00D4090B" w:rsidP="00D4090B">
      <w:pPr>
        <w:pStyle w:val="ListBullet2"/>
      </w:pPr>
      <w:r w:rsidRPr="00D4090B">
        <w:t>chocks and wedges</w:t>
      </w:r>
    </w:p>
    <w:p w:rsidR="00000000" w:rsidRPr="00D4090B" w:rsidP="00D4090B">
      <w:pPr>
        <w:pStyle w:val="ListBullet2"/>
      </w:pPr>
      <w:r w:rsidRPr="00D4090B">
        <w:t>flexible stee</w:t>
      </w:r>
      <w:r w:rsidRPr="00D4090B">
        <w:t>l wire rope (FSWR)</w:t>
      </w:r>
    </w:p>
    <w:p w:rsidR="00000000" w:rsidRPr="00D4090B" w:rsidP="00D4090B">
      <w:pPr>
        <w:pStyle w:val="ListBullet2"/>
      </w:pPr>
      <w:r w:rsidRPr="00D4090B">
        <w:t>kibbles</w:t>
      </w:r>
    </w:p>
    <w:p w:rsidR="00000000" w:rsidRPr="00D4090B" w:rsidP="00D4090B">
      <w:pPr>
        <w:pStyle w:val="ListBullet2"/>
      </w:pPr>
      <w:r w:rsidRPr="00D4090B">
        <w:t>natural ropes</w:t>
      </w:r>
    </w:p>
    <w:p w:rsidR="00000000" w:rsidRPr="00D4090B" w:rsidP="00D4090B">
      <w:pPr>
        <w:pStyle w:val="ListBullet2"/>
      </w:pPr>
      <w:r w:rsidRPr="00D4090B">
        <w:t>packers</w:t>
      </w:r>
    </w:p>
    <w:p w:rsidR="00000000" w:rsidRPr="00D4090B" w:rsidP="00D4090B">
      <w:pPr>
        <w:pStyle w:val="ListBullet2"/>
      </w:pPr>
      <w:r w:rsidRPr="00D4090B">
        <w:t>personnel box</w:t>
      </w:r>
    </w:p>
    <w:p w:rsidR="00000000" w:rsidRPr="00D4090B" w:rsidP="00D4090B">
      <w:pPr>
        <w:pStyle w:val="ListBullet2"/>
      </w:pPr>
      <w:r w:rsidRPr="00D4090B">
        <w:t>rigging screws</w:t>
      </w:r>
    </w:p>
    <w:p w:rsidR="00000000" w:rsidRPr="00D4090B" w:rsidP="00D4090B">
      <w:pPr>
        <w:pStyle w:val="ListBullet2"/>
      </w:pPr>
      <w:r w:rsidRPr="00D4090B">
        <w:t>shackles and eye bolts</w:t>
      </w:r>
    </w:p>
    <w:p w:rsidR="00000000" w:rsidRPr="00D4090B" w:rsidP="00D4090B">
      <w:pPr>
        <w:pStyle w:val="ListBullet2"/>
      </w:pPr>
      <w:r w:rsidRPr="00D4090B">
        <w:t>spreader beams</w:t>
      </w:r>
    </w:p>
    <w:p w:rsidR="00000000" w:rsidRPr="00D4090B" w:rsidP="00D4090B">
      <w:pPr>
        <w:pStyle w:val="ListBullet2"/>
      </w:pPr>
      <w:r w:rsidRPr="00D4090B">
        <w:t>turn buckles</w:t>
      </w:r>
    </w:p>
    <w:p w:rsidR="00000000" w:rsidRPr="00D4090B" w:rsidP="00D4090B">
      <w:pPr>
        <w:pStyle w:val="ListBullet"/>
      </w:pPr>
      <w:r w:rsidRPr="00D4090B">
        <w:t>processes for assisting mechanical handling equipment operator, including signalling methods</w:t>
      </w:r>
    </w:p>
    <w:p w:rsidR="00000000" w:rsidRPr="00D4090B" w:rsidP="00D4090B">
      <w:pPr>
        <w:pStyle w:val="ListBullet"/>
      </w:pPr>
      <w:r w:rsidRPr="00D4090B">
        <w:t>requirements for cleaning up work area, maintaining and storing tools, equipment and materials, and for environmentally friendly waste management.</w:t>
      </w:r>
    </w:p>
    <w:p w:rsidR="00000000" w:rsidRPr="00D4090B" w:rsidP="00D4090B">
      <w:pPr>
        <w:pStyle w:val="AllowPageBreak"/>
      </w:pPr>
    </w:p>
    <w:p w:rsidR="00000000" w:rsidRPr="00D4090B" w:rsidP="00D4090B">
      <w:pPr>
        <w:pStyle w:val="Heading1"/>
      </w:pPr>
      <w:bookmarkStart w:id="12" w:name="O_1294454"/>
      <w:bookmarkEnd w:id="12"/>
      <w:r w:rsidRPr="00D4090B">
        <w:t>Assessment Conditions</w:t>
      </w:r>
    </w:p>
    <w:p w:rsidR="00000000" w:rsidRPr="00D4090B" w:rsidP="00D327A4">
      <w:pPr>
        <w:pStyle w:val="BodyText"/>
      </w:pPr>
      <w:r w:rsidRPr="00D4090B">
        <w:t>Assessors must meet the requirements for assessors outlined in the S</w:t>
      </w:r>
      <w:r w:rsidRPr="00D4090B">
        <w:t xml:space="preserve">tandards for Registered Training Organisations. </w:t>
      </w:r>
    </w:p>
    <w:p w:rsidR="00000000" w:rsidRPr="00D4090B" w:rsidP="00D327A4">
      <w:pPr>
        <w:pStyle w:val="BodyText"/>
      </w:pPr>
      <w:r w:rsidRPr="00D4090B">
        <w:t>Assessment must be conducted in the workplace or in a simulated workplace environment using realistic workplace conditions, materials, activities, responsibilities, procedures, safety requirements and enviro</w:t>
      </w:r>
      <w:r w:rsidRPr="00D4090B">
        <w:t xml:space="preserve">nmental considerations. </w:t>
      </w:r>
    </w:p>
    <w:p w:rsidR="00000000" w:rsidRPr="00D4090B" w:rsidP="00D327A4">
      <w:pPr>
        <w:pStyle w:val="BodyText"/>
      </w:pPr>
      <w:r w:rsidRPr="00D4090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D4090B" w:rsidP="00D327A4">
      <w:pPr>
        <w:pStyle w:val="BodyText"/>
      </w:pPr>
      <w:r w:rsidRPr="00D4090B">
        <w:t>Candidates must have acce</w:t>
      </w:r>
      <w:r w:rsidRPr="00D4090B">
        <w:t>ss to:</w:t>
      </w:r>
    </w:p>
    <w:p w:rsidR="00000000" w:rsidRPr="00D4090B" w:rsidP="00D4090B">
      <w:pPr>
        <w:pStyle w:val="ListBullet"/>
      </w:pPr>
      <w:r w:rsidRPr="00D4090B">
        <w:t>industry-standard equipment required to perform the tasks specified in the Performance Evidence</w:t>
      </w:r>
    </w:p>
    <w:p w:rsidR="00000000" w:rsidRPr="00D4090B" w:rsidP="00D4090B">
      <w:pPr>
        <w:pStyle w:val="ListBullet"/>
      </w:pPr>
      <w:r w:rsidRPr="00D4090B">
        <w:t>appropriate workplace information and records, including policies, procedures and legislative requirements.</w:t>
      </w:r>
    </w:p>
    <w:p w:rsidR="00000000" w:rsidRPr="00D4090B" w:rsidP="00D4090B">
      <w:pPr>
        <w:pStyle w:val="AllowPageBreak"/>
      </w:pPr>
    </w:p>
    <w:p w:rsidR="00000000" w:rsidRPr="00D4090B" w:rsidP="00D4090B">
      <w:pPr>
        <w:pStyle w:val="Heading1"/>
      </w:pPr>
      <w:bookmarkStart w:id="13" w:name="O_1294467"/>
      <w:bookmarkEnd w:id="13"/>
      <w:r w:rsidRPr="00D4090B">
        <w:t>Links</w:t>
      </w:r>
    </w:p>
    <w:p w:rsidR="00000000" w:rsidRPr="00D4090B" w:rsidP="00D327A4">
      <w:pPr>
        <w:pStyle w:val="BodyText"/>
      </w:pPr>
      <w:r w:rsidRPr="00D4090B">
        <w:t>Companion volumes t</w:t>
      </w:r>
      <w:r w:rsidRPr="00D4090B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49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4090B" w:rsidP="00D4090B"/>
    <w:sectPr w:rsidSect="00D409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 w:rsidRPr="00D327A4" w:rsidP="00D3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A4" w:rsidP="00D40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7A4" w:rsidP="00D40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27A4" w:rsidP="00D409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 w:rsidP="00D40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7A4">
      <w:t>Approved</w:t>
    </w:r>
    <w:r w:rsidR="00D327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7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7A4">
      <w:rPr>
        <w:noProof/>
      </w:rPr>
      <w:t>4</w:t>
    </w:r>
    <w:r>
      <w:rPr>
        <w:noProof/>
      </w:rPr>
      <w:fldChar w:fldCharType="end"/>
    </w:r>
  </w:p>
  <w:p w:rsidR="00D4090B" w:rsidP="00D40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7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7A4">
      <w:t>BuildSkills Australia</w:t>
    </w:r>
    <w:r w:rsidR="00D327A4">
      <w:fldChar w:fldCharType="end"/>
    </w:r>
  </w:p>
  <w:p w:rsidR="00D4090B" w:rsidP="00D40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90B" w:rsidRPr="00D327A4" w:rsidP="00D32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A4" w:rsidRPr="002D2AF8" w:rsidP="00D40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CPCCDO2011 Handle and position dogging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7A4" w:rsidP="00D409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0B" w:rsidRPr="002D2AF8" w:rsidP="00D40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7A4">
      <w:t>CPCCDO2011 Handle and position dogging tools and equipment</w:t>
    </w:r>
    <w:r w:rsidR="00D327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7A4">
      <w:rPr>
        <w:noProof/>
      </w:rPr>
      <w:t>2 March 2025</w:t>
    </w:r>
    <w:r>
      <w:fldChar w:fldCharType="end"/>
    </w:r>
  </w:p>
  <w:p w:rsidR="00D4090B" w:rsidP="00D40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BEF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88D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6AB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90B"/>
  </w:style>
  <w:style w:type="character" w:customStyle="1" w:styleId="Heading1Char">
    <w:name w:val="Heading 1 Char"/>
    <w:basedOn w:val="DefaultParagraphFont"/>
    <w:link w:val="Heading1"/>
    <w:rsid w:val="00D40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9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09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090B"/>
    <w:rPr>
      <w:i/>
    </w:rPr>
  </w:style>
  <w:style w:type="paragraph" w:customStyle="1" w:styleId="SuperHeading">
    <w:name w:val="SuperHeading"/>
    <w:basedOn w:val="Normal"/>
    <w:rsid w:val="00D40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90B"/>
    <w:rPr>
      <w:b/>
      <w:spacing w:val="0"/>
    </w:rPr>
  </w:style>
  <w:style w:type="paragraph" w:customStyle="1" w:styleId="SuperTitle">
    <w:name w:val="SuperTitle"/>
    <w:basedOn w:val="Title"/>
    <w:rsid w:val="00D40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0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9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90B"/>
  </w:style>
  <w:style w:type="paragraph" w:styleId="TableofFigures">
    <w:name w:val="table of figures"/>
    <w:basedOn w:val="Normal"/>
    <w:next w:val="Normal"/>
    <w:semiHidden/>
    <w:rsid w:val="00D40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090B"/>
    <w:rPr>
      <w:rFonts w:ascii="Wingdings" w:hAnsi="Wingdings"/>
    </w:rPr>
  </w:style>
  <w:style w:type="paragraph" w:customStyle="1" w:styleId="TableHeading">
    <w:name w:val="Table Heading"/>
    <w:basedOn w:val="HeadingBase"/>
    <w:rsid w:val="00D40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90B"/>
    <w:rPr>
      <w:color w:val="0033CC"/>
      <w:u w:val="none"/>
    </w:rPr>
  </w:style>
  <w:style w:type="paragraph" w:customStyle="1" w:styleId="BodyTextRight">
    <w:name w:val="Body Text Right"/>
    <w:basedOn w:val="BodyText"/>
    <w:rsid w:val="00D40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90B"/>
    <w:rPr>
      <w:sz w:val="32"/>
    </w:rPr>
  </w:style>
  <w:style w:type="paragraph" w:customStyle="1" w:styleId="HeadingProcedure">
    <w:name w:val="Heading Procedure"/>
    <w:basedOn w:val="HeadingBase"/>
    <w:next w:val="Normal"/>
    <w:rsid w:val="00D40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90B"/>
    <w:pPr>
      <w:spacing w:before="60" w:after="60"/>
    </w:pPr>
  </w:style>
  <w:style w:type="paragraph" w:styleId="ListContinue">
    <w:name w:val="List Continue"/>
    <w:basedOn w:val="List"/>
    <w:rsid w:val="00D4090B"/>
    <w:pPr>
      <w:ind w:firstLine="0"/>
    </w:pPr>
  </w:style>
  <w:style w:type="paragraph" w:customStyle="1" w:styleId="ListNote">
    <w:name w:val="List Note"/>
    <w:basedOn w:val="List"/>
    <w:rsid w:val="00D40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90B"/>
    <w:rPr>
      <w:rFonts w:ascii="Courier New" w:hAnsi="Courier New"/>
    </w:rPr>
  </w:style>
  <w:style w:type="paragraph" w:customStyle="1" w:styleId="NoteBullet">
    <w:name w:val="Note Bullet"/>
    <w:basedOn w:val="Note"/>
    <w:rsid w:val="00D40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90B"/>
    <w:rPr>
      <w:b/>
      <w:smallCaps/>
    </w:rPr>
  </w:style>
  <w:style w:type="paragraph" w:customStyle="1" w:styleId="TableListNumber">
    <w:name w:val="Table List Number"/>
    <w:basedOn w:val="ListNumber"/>
    <w:rsid w:val="00D40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90B"/>
    <w:pPr>
      <w:numPr>
        <w:numId w:val="9"/>
      </w:numPr>
    </w:pPr>
  </w:style>
  <w:style w:type="paragraph" w:customStyle="1" w:styleId="ListAlpha2">
    <w:name w:val="List Alpha 2"/>
    <w:basedOn w:val="List2"/>
    <w:rsid w:val="00D4090B"/>
    <w:pPr>
      <w:numPr>
        <w:numId w:val="8"/>
      </w:numPr>
    </w:pPr>
  </w:style>
  <w:style w:type="paragraph" w:styleId="List2">
    <w:name w:val="List 2"/>
    <w:basedOn w:val="BodyText"/>
    <w:rsid w:val="00D40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090B"/>
    <w:pPr>
      <w:numPr>
        <w:numId w:val="4"/>
      </w:numPr>
    </w:pPr>
  </w:style>
  <w:style w:type="paragraph" w:styleId="ListContinue2">
    <w:name w:val="List Continue 2"/>
    <w:basedOn w:val="List2"/>
    <w:rsid w:val="00D4090B"/>
    <w:pPr>
      <w:ind w:firstLine="0"/>
    </w:pPr>
  </w:style>
  <w:style w:type="paragraph" w:styleId="ListContinue3">
    <w:name w:val="List Continue 3"/>
    <w:basedOn w:val="List3"/>
    <w:rsid w:val="00D4090B"/>
    <w:pPr>
      <w:ind w:left="1021" w:firstLine="0"/>
    </w:pPr>
  </w:style>
  <w:style w:type="paragraph" w:styleId="ListContinue4">
    <w:name w:val="List Continue 4"/>
    <w:basedOn w:val="List4"/>
    <w:rsid w:val="00D4090B"/>
    <w:pPr>
      <w:ind w:firstLine="0"/>
    </w:pPr>
  </w:style>
  <w:style w:type="paragraph" w:styleId="ListContinue5">
    <w:name w:val="List Continue 5"/>
    <w:basedOn w:val="List5"/>
    <w:rsid w:val="00D4090B"/>
    <w:pPr>
      <w:ind w:firstLine="0"/>
    </w:pPr>
  </w:style>
  <w:style w:type="paragraph" w:styleId="ListNumber3">
    <w:name w:val="List Number 3"/>
    <w:basedOn w:val="List3"/>
    <w:rsid w:val="00D4090B"/>
    <w:pPr>
      <w:numPr>
        <w:numId w:val="5"/>
      </w:numPr>
    </w:pPr>
  </w:style>
  <w:style w:type="paragraph" w:styleId="ListNumber4">
    <w:name w:val="List Number 4"/>
    <w:basedOn w:val="List4"/>
    <w:rsid w:val="00D4090B"/>
    <w:pPr>
      <w:numPr>
        <w:numId w:val="6"/>
      </w:numPr>
    </w:pPr>
  </w:style>
  <w:style w:type="paragraph" w:styleId="ListNumber5">
    <w:name w:val="List Number 5"/>
    <w:basedOn w:val="List5"/>
    <w:rsid w:val="00D4090B"/>
    <w:pPr>
      <w:numPr>
        <w:numId w:val="7"/>
      </w:numPr>
    </w:pPr>
  </w:style>
  <w:style w:type="paragraph" w:styleId="BlockText">
    <w:name w:val="Block Text"/>
    <w:basedOn w:val="Normal"/>
    <w:rsid w:val="00D40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90B"/>
    <w:rPr>
      <w:sz w:val="16"/>
      <w:vertAlign w:val="superscript"/>
    </w:rPr>
  </w:style>
  <w:style w:type="character" w:customStyle="1" w:styleId="Symbols">
    <w:name w:val="Symbols"/>
    <w:basedOn w:val="DefaultParagraphFont"/>
    <w:rsid w:val="00D4090B"/>
    <w:rPr>
      <w:rFonts w:ascii="Symbol" w:hAnsi="Symbol"/>
    </w:rPr>
  </w:style>
  <w:style w:type="character" w:customStyle="1" w:styleId="MenuOptions">
    <w:name w:val="Menu Options"/>
    <w:basedOn w:val="DefaultParagraphFont"/>
    <w:rsid w:val="00D40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90B"/>
    <w:rPr>
      <w:b/>
    </w:rPr>
  </w:style>
  <w:style w:type="character" w:customStyle="1" w:styleId="Underlined">
    <w:name w:val="Underlined"/>
    <w:basedOn w:val="DefaultParagraphFont"/>
    <w:rsid w:val="00D4090B"/>
    <w:rPr>
      <w:u w:val="single"/>
    </w:rPr>
  </w:style>
  <w:style w:type="paragraph" w:customStyle="1" w:styleId="TableBodyTextRight">
    <w:name w:val="Table Body Text Right"/>
    <w:basedOn w:val="TableBodyText"/>
    <w:rsid w:val="00D40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90B"/>
    <w:rPr>
      <w:sz w:val="18"/>
    </w:rPr>
  </w:style>
  <w:style w:type="paragraph" w:customStyle="1" w:styleId="BodySmallRight">
    <w:name w:val="Body Small Right"/>
    <w:basedOn w:val="BodyTextRight"/>
    <w:rsid w:val="00D4090B"/>
    <w:rPr>
      <w:sz w:val="18"/>
      <w:szCs w:val="18"/>
    </w:rPr>
  </w:style>
  <w:style w:type="paragraph" w:customStyle="1" w:styleId="MarginEdition">
    <w:name w:val="Margin Edition"/>
    <w:basedOn w:val="MarginNote"/>
    <w:rsid w:val="00D40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90B"/>
    <w:rPr>
      <w:sz w:val="2"/>
      <w:szCs w:val="2"/>
    </w:rPr>
  </w:style>
  <w:style w:type="character" w:customStyle="1" w:styleId="Small">
    <w:name w:val="Small"/>
    <w:basedOn w:val="DefaultParagraphFont"/>
    <w:rsid w:val="00D4090B"/>
    <w:rPr>
      <w:sz w:val="16"/>
    </w:rPr>
  </w:style>
  <w:style w:type="paragraph" w:customStyle="1" w:styleId="WideTable">
    <w:name w:val="Wide Table"/>
    <w:basedOn w:val="Normal"/>
    <w:rsid w:val="00D40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90B"/>
  </w:style>
  <w:style w:type="paragraph" w:styleId="Quote">
    <w:name w:val="Quote"/>
    <w:basedOn w:val="Heading1"/>
    <w:link w:val="QuoteChar"/>
    <w:qFormat/>
    <w:rsid w:val="00D40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90B"/>
    <w:pPr>
      <w:pageBreakBefore/>
    </w:pPr>
  </w:style>
  <w:style w:type="paragraph" w:customStyle="1" w:styleId="Border">
    <w:name w:val="Border"/>
    <w:basedOn w:val="Normal"/>
    <w:qFormat/>
    <w:rsid w:val="00D40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90B"/>
    <w:rPr>
      <w:u w:val="single"/>
    </w:rPr>
  </w:style>
  <w:style w:type="character" w:customStyle="1" w:styleId="BoldandItalics">
    <w:name w:val="Bold and Italics"/>
    <w:qFormat/>
    <w:rsid w:val="00D4090B"/>
    <w:rPr>
      <w:b/>
      <w:i/>
      <w:u w:val="none"/>
    </w:rPr>
  </w:style>
  <w:style w:type="paragraph" w:styleId="BalloonText">
    <w:name w:val="Balloon Text"/>
    <w:basedOn w:val="Normal"/>
    <w:link w:val="BalloonTextChar"/>
    <w:rsid w:val="00D40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90B"/>
    <w:pPr>
      <w:spacing w:before="0" w:after="0"/>
    </w:pPr>
  </w:style>
  <w:style w:type="paragraph" w:customStyle="1" w:styleId="BodyTextBold">
    <w:name w:val="Body Text Bold"/>
    <w:basedOn w:val="BodyText"/>
    <w:qFormat/>
    <w:rsid w:val="00D4090B"/>
    <w:rPr>
      <w:b/>
    </w:rPr>
  </w:style>
  <w:style w:type="character" w:styleId="Hyperlink">
    <w:name w:val="Hyperlink"/>
    <w:basedOn w:val="DefaultParagraphFont"/>
    <w:uiPriority w:val="99"/>
    <w:unhideWhenUsed/>
    <w:rsid w:val="00D32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5751</Characters>
  <Application>Microsoft Office Word</Application>
  <DocSecurity>0</DocSecurity>
  <Lines>205</Lines>
  <Paragraphs>120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CPCCDO2011 Handle and position dogging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