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509" w:rsidP="00AB6509">
      <w:pPr>
        <w:pStyle w:val="Title"/>
      </w:pPr>
      <w:r>
        <w:fldChar w:fldCharType="begin"/>
      </w:r>
      <w:r>
        <w:instrText xml:space="preserve"> TITLE   \* MERGEFORMAT </w:instrText>
      </w:r>
      <w:r>
        <w:fldChar w:fldCharType="separate"/>
      </w:r>
      <w:r>
        <w:t>CPCCDE5001 Conduct air monitoring and clearance inspections for asbestos removal work</w:t>
      </w:r>
      <w:r>
        <w:fldChar w:fldCharType="end"/>
      </w:r>
    </w:p>
    <w:p w:rsidR="00AB6509" w:rsidP="00AB6509">
      <w:pPr>
        <w:pStyle w:val="Version"/>
        <w:sectPr w:rsidSect="006F2E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E63" w:rsidP="006F2E63">
      <w:pPr>
        <w:pStyle w:val="SuperHeading"/>
      </w:pPr>
      <w:r w:rsidRPr="006F2E63">
        <w:t>CPCCDE5001 Conduct air monitoring and clearance inspections for asbestos removal work</w:t>
      </w:r>
    </w:p>
    <w:p w:rsidR="00000000" w:rsidRPr="006F2E63" w:rsidP="006F2E63">
      <w:pPr>
        <w:pStyle w:val="Heading1"/>
      </w:pPr>
      <w:bookmarkStart w:id="1" w:name="O_1052701"/>
      <w:bookmarkEnd w:id="1"/>
      <w:r w:rsidRPr="006F2E63">
        <w:t>Modification History</w:t>
      </w:r>
    </w:p>
    <w:tbl>
      <w:tblPr>
        <w:tblW w:w="0" w:type="auto"/>
        <w:tblLayout w:type="fixed"/>
        <w:tblCellMar>
          <w:left w:w="62" w:type="dxa"/>
          <w:right w:w="62" w:type="dxa"/>
        </w:tblCellMar>
        <w:tblLook w:val="0000"/>
      </w:tblPr>
      <w:tblGrid>
        <w:gridCol w:w="1128"/>
        <w:gridCol w:w="7944"/>
      </w:tblGrid>
      <w:tr w:rsidTr="006F2E6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Release 1</w:t>
            </w:r>
          </w:p>
        </w:tc>
        <w:tc>
          <w:tcPr>
            <w:tcW w:w="7944" w:type="dxa"/>
            <w:tcBorders>
              <w:top w:val="nil"/>
              <w:left w:val="nil"/>
              <w:bottom w:val="nil"/>
              <w:right w:val="nil"/>
            </w:tcBorders>
            <w:tcMar>
              <w:top w:w="0" w:type="dxa"/>
              <w:left w:w="62" w:type="dxa"/>
              <w:bottom w:w="0" w:type="dxa"/>
              <w:right w:w="62" w:type="dxa"/>
            </w:tcMar>
          </w:tcPr>
          <w:p w:rsidR="00000000" w:rsidRPr="006F2E63" w:rsidP="006F2E63">
            <w:pPr>
              <w:pStyle w:val="BodyText"/>
            </w:pPr>
            <w:r w:rsidRPr="006F2E63">
              <w:t>This version first released with CPC Construction, Plumbing and Services Training Package Release 5.0.</w:t>
            </w:r>
          </w:p>
          <w:p w:rsidR="00000000" w:rsidRPr="006F2E63" w:rsidP="006F2E63">
            <w:pPr>
              <w:pStyle w:val="BodyText"/>
            </w:pPr>
            <w:r w:rsidRPr="006F2E63">
              <w:t>Supersedes and is equivalent to CPCCBC5014A Conduct asbestos assessment associated with removal.  Title change.  Updated to meet the Standards for Training Packages 2012.</w:t>
            </w:r>
          </w:p>
        </w:tc>
      </w:tr>
    </w:tbl>
    <w:p w:rsidR="00000000" w:rsidRPr="006F2E63" w:rsidP="006F2E63">
      <w:pPr>
        <w:pStyle w:val="BodyText"/>
      </w:pPr>
    </w:p>
    <w:p w:rsidR="00000000" w:rsidRPr="006F2E63" w:rsidP="006F2E63">
      <w:pPr>
        <w:pStyle w:val="AllowPageBreak"/>
      </w:pPr>
    </w:p>
    <w:p w:rsidR="00000000" w:rsidRPr="006F2E63" w:rsidP="006F2E63">
      <w:pPr>
        <w:pStyle w:val="Heading1"/>
      </w:pPr>
      <w:bookmarkStart w:id="2" w:name="O_1052707"/>
      <w:bookmarkEnd w:id="2"/>
      <w:r w:rsidRPr="006F2E63">
        <w:t>Application</w:t>
      </w:r>
    </w:p>
    <w:p w:rsidR="00000000" w:rsidRPr="006F2E63" w:rsidP="00AB6509">
      <w:pPr>
        <w:pStyle w:val="BodyText"/>
      </w:pPr>
      <w:r w:rsidRPr="006F2E63">
        <w:t>This unit of competency specifies the outcomes requi</w:t>
      </w:r>
      <w:r w:rsidRPr="006F2E63">
        <w:t>red to visually inspect and use a range of measuring devices to undertake the monitoring of airborne asbestos fibres in the workplace as an integral part of identifying hazards, assessing risks, monitoring the effectiveness of controls, and ensuring that t</w:t>
      </w:r>
      <w:r w:rsidRPr="006F2E63">
        <w:t xml:space="preserve">he workplace is free of visible asbestos fibres and air monitoring results are at acceptable levels prior to reoccupation. </w:t>
      </w:r>
    </w:p>
    <w:p w:rsidR="00000000" w:rsidRPr="006F2E63" w:rsidP="00AB6509">
      <w:pPr>
        <w:pStyle w:val="BodyText"/>
      </w:pPr>
      <w:r w:rsidRPr="006F2E63">
        <w:t>The unit includes the planning of the monitoring process, the selection and use of processes and air-monitoring equipment, the condu</w:t>
      </w:r>
      <w:r w:rsidRPr="006F2E63">
        <w:t xml:space="preserve">ct of the assessment process, and the proper handling and interpretation of results. </w:t>
      </w:r>
    </w:p>
    <w:p w:rsidR="00000000" w:rsidRPr="006F2E63" w:rsidP="00AB6509">
      <w:pPr>
        <w:pStyle w:val="BodyText"/>
      </w:pPr>
      <w:r w:rsidRPr="006F2E63">
        <w:t>Asbestos assessment and air monitoring are required during all friable (Class A) asbestos removal and for non-friable (Class B) asbestos removal where a risk assessment i</w:t>
      </w:r>
      <w:r w:rsidRPr="006F2E63">
        <w:t>ndicates that airborne asbestos fibres may result from the removal activity.</w:t>
      </w:r>
    </w:p>
    <w:p w:rsidR="00000000" w:rsidRPr="006F2E63" w:rsidP="00AB6509">
      <w:pPr>
        <w:pStyle w:val="BodyText"/>
      </w:pPr>
      <w:r w:rsidRPr="006F2E63">
        <w:t>Licenses are required in most states and territories. Work must be completed according to relevant legislative, code of practice, industry, customer and organisational requirement</w:t>
      </w:r>
      <w:r w:rsidRPr="006F2E63">
        <w:t xml:space="preserve">s, including work health and safety (WHS) policies and procedures. Analysis of samples must conform to National Association of Testing Authorities (NATA) or other accredited laboratory requirements and standards. </w:t>
      </w:r>
    </w:p>
    <w:p w:rsidR="00000000" w:rsidRPr="006F2E63" w:rsidP="00AB6509">
      <w:pPr>
        <w:pStyle w:val="BodyText"/>
      </w:pPr>
      <w:r w:rsidRPr="006F2E63">
        <w:t xml:space="preserve">The model WHS regulations and the Code of </w:t>
      </w:r>
      <w:r w:rsidRPr="006F2E63">
        <w:t>Practice: How to safely remove asbestos (2018) outlines regulatory requirements for clearance inspections, air monitoring (the Membrane Filter Method for Estimating Airborne Asbestos Fibres) and certification.</w:t>
      </w:r>
    </w:p>
    <w:p w:rsidR="00000000" w:rsidRPr="006F2E63" w:rsidP="00AB6509">
      <w:pPr>
        <w:pStyle w:val="BodyText"/>
      </w:pPr>
      <w:r w:rsidRPr="006F2E63">
        <w:t>Candidates are advised to check for specific j</w:t>
      </w:r>
      <w:r w:rsidRPr="006F2E63">
        <w:t>urisdictional regulatory requirements.</w:t>
      </w:r>
    </w:p>
    <w:p w:rsidR="00000000" w:rsidRPr="006F2E63" w:rsidP="006F2E63">
      <w:pPr>
        <w:pStyle w:val="Heading1"/>
      </w:pPr>
      <w:bookmarkStart w:id="3" w:name="O_1052706"/>
      <w:bookmarkEnd w:id="3"/>
      <w:r w:rsidRPr="006F2E63">
        <w:t>Pre-requisite Unit</w:t>
      </w:r>
    </w:p>
    <w:p w:rsidR="00000000" w:rsidRPr="006F2E63" w:rsidP="00AB6509">
      <w:pPr>
        <w:pStyle w:val="BodyText"/>
      </w:pPr>
      <w:r w:rsidRPr="006F2E63">
        <w:t>Nil.</w:t>
      </w:r>
    </w:p>
    <w:p w:rsidR="00000000" w:rsidRPr="006F2E63" w:rsidP="006F2E63">
      <w:pPr>
        <w:pStyle w:val="Heading1"/>
      </w:pPr>
      <w:bookmarkStart w:id="4" w:name="O_1052705"/>
      <w:bookmarkEnd w:id="4"/>
      <w:r w:rsidRPr="006F2E63">
        <w:t>Unit Sector</w:t>
      </w:r>
    </w:p>
    <w:p w:rsidR="00000000" w:rsidRPr="006F2E63" w:rsidP="00AB6509">
      <w:pPr>
        <w:pStyle w:val="BodyText"/>
      </w:pPr>
      <w:r w:rsidRPr="006F2E63">
        <w:t>Demolition.</w:t>
      </w:r>
    </w:p>
    <w:p w:rsidR="00000000" w:rsidRPr="006F2E63" w:rsidP="006F2E63">
      <w:pPr>
        <w:pStyle w:val="Heading1"/>
      </w:pPr>
      <w:bookmarkStart w:id="5" w:name="O_1052704"/>
      <w:bookmarkEnd w:id="5"/>
      <w:r w:rsidRPr="006F2E6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F2E6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Performance criteria describe what needs to be done to demonstrate achievement of the element.</w:t>
            </w:r>
          </w:p>
        </w:tc>
      </w:tr>
      <w:tr w:rsidTr="006F2E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w:t>
            </w:r>
          </w:p>
        </w:tc>
        <w:tc>
          <w:tcPr>
            <w:tcW w:w="2357" w:type="dxa"/>
            <w:vMerge w:val="restart"/>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Plan for assessment of asbestos removal.</w:t>
            </w: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1.1</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Confirm scope, timelines and budget for the project with the client and asbestos removalist.</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1.2</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Identify type of asbestos containing material (ACM), its location, friability and condition by reference to the asbestos register and consultation with workplace personnel and client.</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1.3</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Research and confirm legislation, regulations, code of practice a</w:t>
            </w:r>
            <w:r w:rsidRPr="006F2E63">
              <w:t>nd standards to inform the planning process, risk identification and to ensure a compliant and independent assessment process.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1.4</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Prepare required reports in a timely manner and according to the requirements of the specific audience and the legislation</w:t>
            </w:r>
            <w:r w:rsidRPr="006F2E63">
              <w:t>, regulations, code of practice and standards.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1.5</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Research and confirm characteristics of and health impacts from exposure to ACM and the rationale for air monitoring processes.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1.6</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Identify accreditation framework and roles and responsibilities of personnel involved.</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1.7</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Identify processes used in the compliant removal of friable and non-friable asbestos using enclosures and leak testing, decontamination units, personal respirator</w:t>
            </w:r>
            <w:r w:rsidRPr="006F2E63">
              <w:t>s and negative pressure equipment.</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1.8</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Collect, review and use worksite documentation to inform the planning process.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1.9</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Define areas within the worksite where measurements are to be taken.</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1.10</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Select measuring equipment specific to the hazard and condition of the ACM, the environment, the activities being carried out and level of risk.</w:t>
            </w:r>
          </w:p>
        </w:tc>
      </w:tr>
      <w:tr w:rsidTr="006F2E63">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1.11</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Recognise limits of own expertise and available equipment and seek expert advice and equipment as appro</w:t>
            </w:r>
            <w:r w:rsidRPr="006F2E63">
              <w:t>priate.</w:t>
            </w:r>
          </w:p>
        </w:tc>
      </w:tr>
      <w:tr w:rsidTr="006F2E63">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1.12</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Undertake risk assessment and select suitable control measures.</w:t>
            </w:r>
          </w:p>
        </w:tc>
      </w:tr>
      <w:tr w:rsidTr="006F2E63">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1.13</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Identify and source equipment, including personal protective equipment (PPE), required to carry out the job.</w:t>
            </w:r>
          </w:p>
        </w:tc>
      </w:tr>
      <w:tr w:rsidTr="006F2E63">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1.14</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Document confirmed planning with the client, asbestos removalist and supervisor.</w:t>
            </w:r>
          </w:p>
        </w:tc>
      </w:tr>
      <w:tr w:rsidTr="006F2E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2E63">
            <w:pPr>
              <w:pStyle w:val="BodyText"/>
              <w:rPr>
                <w:lang w:val="en-NZ"/>
              </w:rPr>
            </w:pPr>
          </w:p>
        </w:tc>
      </w:tr>
      <w:tr w:rsidTr="006F2E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2</w:t>
            </w:r>
          </w:p>
        </w:tc>
        <w:tc>
          <w:tcPr>
            <w:tcW w:w="2357" w:type="dxa"/>
            <w:vMerge w:val="restart"/>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Collect site measurements and other data.</w:t>
            </w: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2.1</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Arrange with and advise workers on-site of the requirement to collect information and data to facilitate the measurement and monitoring process.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2.2</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Conduct site visit and complete a visual inspection in consultation with client and stakeholders and acc</w:t>
            </w:r>
            <w:r w:rsidRPr="006F2E63">
              <w:t>ording to legislation, regulations, code of practice and standards.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2.3</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Establish sampling schedule and strategy.</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2.4</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Identify and record effective air monitoring locations for each asbestos removal task.</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2.5</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Conduct sampling process in consultation with relevant site personnel and as stated in the standards specified for membrane filter method for estimating airborne asbestos fibres.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2.6</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Revise sampling schedule and strategy after site inspection and in con</w:t>
            </w:r>
            <w:r w:rsidRPr="006F2E63">
              <w:t>sultation with asbestos removalist and worksite manager or supervisor.</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2.7</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Develop and provide air monitoring program consisting of locations and schedule to asbestos removalist and supervisor.</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2.8</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Check operability of monitoring equipment according to manufacturer specifications, organisational procedures and professional standards.</w:t>
            </w:r>
          </w:p>
        </w:tc>
      </w:tr>
      <w:tr w:rsidTr="006F2E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2E63">
            <w:pPr>
              <w:pStyle w:val="BodyText"/>
              <w:rPr>
                <w:lang w:val="en-NZ"/>
              </w:rPr>
            </w:pPr>
          </w:p>
        </w:tc>
      </w:tr>
      <w:tr w:rsidTr="006F2E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w:t>
            </w:r>
          </w:p>
        </w:tc>
        <w:tc>
          <w:tcPr>
            <w:tcW w:w="2357" w:type="dxa"/>
            <w:vMerge w:val="restart"/>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Use measuring devices to collect site information and data.</w:t>
            </w: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3.1</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Select air-monitoring equipment, check calibration records, calibrate equipment and determine appropriate flow rate according to accredited laboratory requirements and professional standards.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3.2</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Use and maintain equipment correctly to accurately collec</w:t>
            </w:r>
            <w:r w:rsidRPr="006F2E63">
              <w:t>t data.</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3.3</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Follow workplace safety procedures during the collection process.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3.4</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Collect required volumes of air samples according to the membrane filter method, label and replace the filter holders according to the sampling schedule and plan.</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3.5</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Collect information and data and record results noting where samples were taken and ensuring compliance with chain of custody protocols.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3.6</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 xml:space="preserve">Put in place processes and make checks to ensure all data is collected under the control of a NATA or other </w:t>
            </w:r>
            <w:r w:rsidRPr="006F2E63">
              <w:t>accredited laboratory and according to industry standards and legislative requirements.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3.7</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Dismantle, decontaminate and dispose of parts or equipment according to regulations, code of practice and workplace procedures.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3.8</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Store equipment correctly or make ready for re-use.</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3.9</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Service and maintain sampling equipment according to professional standards and manufacturer specifications.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3.10</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Complete a visual inspection within enclosure and undertake air monitoring withi</w:t>
            </w:r>
            <w:r w:rsidRPr="006F2E63">
              <w:t>n the enclosure for areas where friable asbestos has been removed.</w:t>
            </w:r>
          </w:p>
        </w:tc>
      </w:tr>
      <w:tr w:rsidTr="006F2E63">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3.11</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Complete a visual inspection of work area where non-friable asbestos has been removed.</w:t>
            </w:r>
          </w:p>
        </w:tc>
      </w:tr>
      <w:tr w:rsidTr="006F2E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2E63">
            <w:pPr>
              <w:pStyle w:val="BodyText"/>
              <w:rPr>
                <w:lang w:val="en-NZ"/>
              </w:rPr>
            </w:pPr>
          </w:p>
        </w:tc>
      </w:tr>
      <w:tr w:rsidTr="006F2E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4</w:t>
            </w:r>
          </w:p>
        </w:tc>
        <w:tc>
          <w:tcPr>
            <w:tcW w:w="2357" w:type="dxa"/>
            <w:vMerge w:val="restart"/>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Complete the monitoring process.</w:t>
            </w: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4.1</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Label and prepare filter for despatch to the laboratory, ensuring correct handling procedures for filters and chain of custody requirements.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4.2</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Seek confirmation of the exact nature of fibres where necessary.</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4.3</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Retain and store samples in labelled containers.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4.4</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Assess site set-up, removal, breakdown and decontamination procedures according to legislative and code of practice requirements.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4.5</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Implement documentation and processes to ensure the compliant transportation of samples.</w:t>
            </w:r>
          </w:p>
        </w:tc>
      </w:tr>
      <w:tr w:rsidTr="006F2E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2E63">
            <w:pPr>
              <w:pStyle w:val="BodyText"/>
              <w:rPr>
                <w:lang w:val="en-NZ"/>
              </w:rPr>
            </w:pPr>
          </w:p>
        </w:tc>
      </w:tr>
      <w:tr w:rsidTr="006F2E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5</w:t>
            </w:r>
          </w:p>
        </w:tc>
        <w:tc>
          <w:tcPr>
            <w:tcW w:w="2357" w:type="dxa"/>
            <w:vMerge w:val="restart"/>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Document results.</w:t>
            </w: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5.1</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Interpret and evaluate results received from the NATA or other accredited laboratory against the recognised standard.</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5.2</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Perform further calculations as required on the technical data received from the NATA or other accredited laboratory.</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5.3</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Document outcomes from the technical analysis and make recommendations regarding exposure and control monitoring processes.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5.4</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Liaise with asbestos removalist immediately if air monitoring results are above action levels.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5.5</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Prepare concise, logical and accurate report that addresses regulatory requirements and is in the form required by audience.</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5.6</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Visually inspect worksite to ensure compliance with procedures prior to issuing a clearance certificate.</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5.7</w:t>
            </w:r>
          </w:p>
        </w:tc>
        <w:tc>
          <w:tcPr>
            <w:tcW w:w="5659"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Complete and issue clearance certificate according to legislative, regulatory and code of practice requirements.</w:t>
            </w:r>
          </w:p>
        </w:tc>
      </w:tr>
      <w:tr w:rsidTr="006F2E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2E63">
            <w:pPr>
              <w:pStyle w:val="BodyText"/>
              <w:rPr>
                <w:lang w:val="en-NZ"/>
              </w:rPr>
            </w:pPr>
            <w:r w:rsidRPr="006F2E63">
              <w:t>5.8</w:t>
            </w:r>
          </w:p>
        </w:tc>
        <w:tc>
          <w:tcPr>
            <w:tcW w:w="5659" w:type="dxa"/>
            <w:tcBorders>
              <w:top w:val="nil"/>
              <w:left w:val="nil"/>
              <w:bottom w:val="nil"/>
              <w:right w:val="nil"/>
            </w:tcBorders>
            <w:tcMar>
              <w:top w:w="0" w:type="dxa"/>
              <w:left w:w="62" w:type="dxa"/>
              <w:bottom w:w="0" w:type="dxa"/>
              <w:right w:w="62" w:type="dxa"/>
            </w:tcMar>
          </w:tcPr>
          <w:p w:rsidR="00000000" w:rsidRPr="006F2E63" w:rsidP="006F2E63">
            <w:pPr>
              <w:pStyle w:val="BodyText"/>
            </w:pPr>
            <w:r w:rsidRPr="006F2E63">
              <w:t>Retain and store results</w:t>
            </w:r>
            <w:r w:rsidRPr="006F2E63">
              <w:t xml:space="preserve"> and records in a readily retrievable format according to regulatory requirements and standards.</w:t>
            </w:r>
          </w:p>
        </w:tc>
      </w:tr>
    </w:tbl>
    <w:p w:rsidR="00000000" w:rsidRPr="006F2E63" w:rsidP="006F2E63">
      <w:pPr>
        <w:pStyle w:val="BodyText"/>
      </w:pPr>
    </w:p>
    <w:p w:rsidR="00000000" w:rsidRPr="006F2E63" w:rsidP="006F2E63">
      <w:pPr>
        <w:pStyle w:val="AllowPageBreak"/>
      </w:pPr>
    </w:p>
    <w:p w:rsidR="00000000" w:rsidRPr="006F2E63" w:rsidP="006F2E63">
      <w:pPr>
        <w:pStyle w:val="Heading1"/>
      </w:pPr>
      <w:bookmarkStart w:id="6" w:name="O_1052703"/>
      <w:bookmarkEnd w:id="6"/>
      <w:r w:rsidRPr="006F2E63">
        <w:t>Foundation Skills</w:t>
      </w:r>
    </w:p>
    <w:p w:rsidR="00000000" w:rsidRPr="006F2E63" w:rsidP="00AB6509">
      <w:pPr>
        <w:pStyle w:val="BodyText"/>
      </w:pPr>
      <w:r w:rsidRPr="006F2E63">
        <w:t xml:space="preserve">This section describes the language, literacy, numeracy and employment skills essential to performance in this unit but not explicit in the performance criteria: </w:t>
      </w:r>
    </w:p>
    <w:p w:rsidR="00000000" w:rsidRPr="006F2E63" w:rsidP="006F2E63">
      <w:pPr>
        <w:pStyle w:val="ListBullet"/>
      </w:pPr>
      <w:r w:rsidRPr="006F2E63">
        <w:t>technology skills to:</w:t>
      </w:r>
    </w:p>
    <w:p w:rsidR="00000000" w:rsidRPr="006F2E63" w:rsidP="006F2E63">
      <w:pPr>
        <w:pStyle w:val="ListBullet2"/>
      </w:pPr>
      <w:r w:rsidRPr="006F2E63">
        <w:t>use mobile and communication tools and devices to communicate and col</w:t>
      </w:r>
      <w:r w:rsidRPr="006F2E63">
        <w:t>laborate effectively with others</w:t>
      </w:r>
    </w:p>
    <w:p w:rsidR="00000000" w:rsidRPr="006F2E63" w:rsidP="006F2E63">
      <w:pPr>
        <w:pStyle w:val="ListBullet2"/>
      </w:pPr>
      <w:r w:rsidRPr="006F2E63">
        <w:t>use equipment and programs to access, extract information and develop relevant documentation</w:t>
      </w:r>
    </w:p>
    <w:p w:rsidR="00000000" w:rsidRPr="006F2E63" w:rsidP="006F2E63">
      <w:pPr>
        <w:pStyle w:val="ListBullet"/>
      </w:pPr>
      <w:r w:rsidRPr="006F2E63">
        <w:t xml:space="preserve">mathematical skills to: </w:t>
      </w:r>
    </w:p>
    <w:p w:rsidR="00000000" w:rsidRPr="006F2E63" w:rsidP="006F2E63">
      <w:pPr>
        <w:pStyle w:val="ListBullet2"/>
      </w:pPr>
      <w:r w:rsidRPr="006F2E63">
        <w:t>undertake complex calculations.</w:t>
      </w:r>
    </w:p>
    <w:p w:rsidR="00000000" w:rsidRPr="006F2E63" w:rsidP="006F2E63">
      <w:pPr>
        <w:pStyle w:val="AllowPageBreak"/>
      </w:pPr>
    </w:p>
    <w:p w:rsidR="00000000" w:rsidRPr="006F2E63" w:rsidP="006F2E63">
      <w:pPr>
        <w:pStyle w:val="Heading1"/>
      </w:pPr>
      <w:bookmarkStart w:id="7" w:name="O_1052702"/>
      <w:bookmarkEnd w:id="7"/>
      <w:r w:rsidRPr="006F2E63">
        <w:t>Unit Mapping Information</w:t>
      </w:r>
    </w:p>
    <w:p w:rsidR="00000000" w:rsidRPr="006F2E63" w:rsidP="00AB6509">
      <w:pPr>
        <w:pStyle w:val="BodyText"/>
      </w:pPr>
      <w:r w:rsidRPr="006F2E63">
        <w:t>Supersedes and equivalent to CPCCBC5014A Conduct asbestos assessment associated with removal.</w:t>
      </w:r>
    </w:p>
    <w:p w:rsidR="00000000" w:rsidRPr="006F2E63" w:rsidP="006F2E63">
      <w:pPr>
        <w:pStyle w:val="Heading1"/>
      </w:pPr>
      <w:bookmarkStart w:id="8" w:name="O_1052695"/>
      <w:bookmarkEnd w:id="8"/>
      <w:r w:rsidRPr="006F2E63">
        <w:t>Links</w:t>
      </w:r>
    </w:p>
    <w:p w:rsidR="00000000" w:rsidRPr="006F2E63" w:rsidP="00AB6509">
      <w:pPr>
        <w:pStyle w:val="BodyText"/>
      </w:pPr>
      <w:r w:rsidRPr="006F2E6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654AE">
        <w:rPr>
          <w:rStyle w:val="Hyperlink"/>
        </w:rPr>
        <w:t>https://vetnet.gov.au/Pages/TrainingDocs.aspx?q=7e15fa6a-68b8-4097-b099-030a5569b1ad</w:t>
      </w:r>
      <w:r>
        <w:fldChar w:fldCharType="end"/>
      </w:r>
    </w:p>
    <w:p w:rsidR="00000000" w:rsidRPr="006F2E63" w:rsidP="006F2E63"/>
    <w:sectPr w:rsidSect="006F2E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63" w:rsidRPr="00AB6509" w:rsidP="00AB6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09" w:rsidP="006F2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6509" w:rsidP="006F2E6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B6509" w:rsidP="006F2E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E63" w:rsidRPr="00AB6509" w:rsidP="00AB65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09" w:rsidRPr="002D2AF8" w:rsidP="006F2E63">
    <w:pPr>
      <w:pStyle w:val="Header"/>
      <w:framePr w:wrap="around"/>
    </w:pPr>
    <w:r>
      <w:fldChar w:fldCharType="begin"/>
    </w:r>
    <w:r>
      <w:instrText xml:space="preserve"> TITLE   \* MERGEFORMAT </w:instrText>
    </w:r>
    <w:r>
      <w:fldChar w:fldCharType="separate"/>
    </w:r>
    <w:r>
      <w:t>CPCCDE5001 Conduct air monitoring and clearance inspections for asbestos removal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B6509" w:rsidP="006F2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0AE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202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AF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E63"/>
    <w:pPr>
      <w:spacing w:before="360" w:after="60"/>
      <w:outlineLvl w:val="0"/>
    </w:pPr>
    <w:rPr>
      <w:sz w:val="32"/>
    </w:rPr>
  </w:style>
  <w:style w:type="paragraph" w:styleId="Heading2">
    <w:name w:val="heading 2"/>
    <w:basedOn w:val="HeadingBase"/>
    <w:next w:val="BodyText"/>
    <w:link w:val="Heading2Char"/>
    <w:qFormat/>
    <w:rsid w:val="006F2E63"/>
    <w:pPr>
      <w:keepLines/>
      <w:spacing w:before="240" w:after="120"/>
      <w:outlineLvl w:val="1"/>
    </w:pPr>
    <w:rPr>
      <w:sz w:val="28"/>
      <w:szCs w:val="40"/>
    </w:rPr>
  </w:style>
  <w:style w:type="paragraph" w:styleId="Heading3">
    <w:name w:val="heading 3"/>
    <w:basedOn w:val="HeadingBase"/>
    <w:next w:val="BodyText"/>
    <w:link w:val="Heading3Char"/>
    <w:qFormat/>
    <w:rsid w:val="006F2E63"/>
    <w:pPr>
      <w:spacing w:before="180" w:after="120"/>
      <w:outlineLvl w:val="2"/>
    </w:pPr>
    <w:rPr>
      <w:spacing w:val="-10"/>
      <w:kern w:val="32"/>
    </w:rPr>
  </w:style>
  <w:style w:type="paragraph" w:styleId="Heading4">
    <w:name w:val="heading 4"/>
    <w:basedOn w:val="HeadingBase"/>
    <w:next w:val="BodyText"/>
    <w:link w:val="Heading4Char"/>
    <w:qFormat/>
    <w:rsid w:val="006F2E63"/>
    <w:pPr>
      <w:spacing w:before="160" w:after="120"/>
      <w:outlineLvl w:val="3"/>
    </w:pPr>
    <w:rPr>
      <w:sz w:val="22"/>
    </w:rPr>
  </w:style>
  <w:style w:type="paragraph" w:styleId="Heading5">
    <w:name w:val="heading 5"/>
    <w:basedOn w:val="HeadingBase"/>
    <w:next w:val="Normal"/>
    <w:link w:val="Heading5Char"/>
    <w:qFormat/>
    <w:rsid w:val="006F2E63"/>
    <w:pPr>
      <w:spacing w:before="80"/>
      <w:outlineLvl w:val="4"/>
    </w:pPr>
    <w:rPr>
      <w:color w:val="918585"/>
      <w:sz w:val="20"/>
    </w:rPr>
  </w:style>
  <w:style w:type="paragraph" w:styleId="Heading6">
    <w:name w:val="heading 6"/>
    <w:basedOn w:val="HeadingBase"/>
    <w:next w:val="Normal"/>
    <w:link w:val="Heading6Char"/>
    <w:qFormat/>
    <w:rsid w:val="006F2E63"/>
    <w:pPr>
      <w:spacing w:before="60"/>
      <w:outlineLvl w:val="5"/>
    </w:pPr>
    <w:rPr>
      <w:color w:val="918585"/>
      <w:sz w:val="20"/>
    </w:rPr>
  </w:style>
  <w:style w:type="paragraph" w:styleId="Heading7">
    <w:name w:val="heading 7"/>
    <w:basedOn w:val="Normal"/>
    <w:next w:val="Normal"/>
    <w:link w:val="Heading7Char"/>
    <w:qFormat/>
    <w:rsid w:val="006F2E63"/>
    <w:pPr>
      <w:ind w:left="720"/>
      <w:outlineLvl w:val="6"/>
    </w:pPr>
    <w:rPr>
      <w:i/>
    </w:rPr>
  </w:style>
  <w:style w:type="paragraph" w:styleId="Heading8">
    <w:name w:val="heading 8"/>
    <w:basedOn w:val="Normal"/>
    <w:next w:val="Normal"/>
    <w:link w:val="Heading8Char"/>
    <w:qFormat/>
    <w:rsid w:val="006F2E63"/>
    <w:pPr>
      <w:ind w:left="720"/>
      <w:outlineLvl w:val="7"/>
    </w:pPr>
    <w:rPr>
      <w:i/>
    </w:rPr>
  </w:style>
  <w:style w:type="paragraph" w:styleId="Heading9">
    <w:name w:val="heading 9"/>
    <w:basedOn w:val="Normal"/>
    <w:next w:val="Normal"/>
    <w:link w:val="Heading9Char"/>
    <w:qFormat/>
    <w:rsid w:val="006F2E63"/>
    <w:pPr>
      <w:ind w:left="720"/>
      <w:outlineLvl w:val="8"/>
    </w:pPr>
    <w:rPr>
      <w:i/>
    </w:rPr>
  </w:style>
  <w:style w:type="character" w:default="1" w:styleId="DefaultParagraphFont">
    <w:name w:val="Default Paragraph Font"/>
    <w:uiPriority w:val="1"/>
    <w:unhideWhenUsed/>
    <w:rsid w:val="006F2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E63"/>
  </w:style>
  <w:style w:type="character" w:customStyle="1" w:styleId="Heading1Char">
    <w:name w:val="Heading 1 Char"/>
    <w:basedOn w:val="DefaultParagraphFont"/>
    <w:link w:val="Heading1"/>
    <w:rsid w:val="006F2E63"/>
    <w:rPr>
      <w:rFonts w:ascii="Times New Roman" w:eastAsia="Times New Roman" w:hAnsi="Times New Roman" w:cs="Times New Roman"/>
      <w:b/>
      <w:sz w:val="32"/>
      <w:szCs w:val="20"/>
      <w:lang w:eastAsia="en-US"/>
    </w:rPr>
  </w:style>
  <w:style w:type="paragraph" w:styleId="BodyText">
    <w:name w:val="Body Text"/>
    <w:basedOn w:val="Normal"/>
    <w:link w:val="BodyTextChar"/>
    <w:rsid w:val="006F2E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E63"/>
    <w:rPr>
      <w:rFonts w:ascii="Times New Roman" w:eastAsia="Times New Roman" w:hAnsi="Times New Roman" w:cs="Times New Roman"/>
      <w:sz w:val="24"/>
      <w:lang w:eastAsia="en-US"/>
    </w:rPr>
  </w:style>
  <w:style w:type="paragraph" w:styleId="ListBullet">
    <w:name w:val="List Bullet"/>
    <w:basedOn w:val="List"/>
    <w:rsid w:val="006F2E63"/>
    <w:pPr>
      <w:numPr>
        <w:numId w:val="12"/>
      </w:numPr>
      <w:tabs>
        <w:tab w:val="clear" w:pos="340"/>
      </w:tabs>
      <w:spacing w:before="40" w:after="40"/>
    </w:pPr>
  </w:style>
  <w:style w:type="paragraph" w:styleId="ListBullet2">
    <w:name w:val="List Bullet 2"/>
    <w:basedOn w:val="List2"/>
    <w:rsid w:val="006F2E63"/>
    <w:pPr>
      <w:numPr>
        <w:numId w:val="13"/>
      </w:numPr>
      <w:tabs>
        <w:tab w:val="clear" w:pos="680"/>
      </w:tabs>
    </w:pPr>
  </w:style>
  <w:style w:type="paragraph" w:customStyle="1" w:styleId="SuperHeading">
    <w:name w:val="SuperHeading"/>
    <w:basedOn w:val="Normal"/>
    <w:rsid w:val="006F2E63"/>
    <w:pPr>
      <w:spacing w:before="240" w:after="120"/>
      <w:outlineLvl w:val="0"/>
    </w:pPr>
    <w:rPr>
      <w:rFonts w:ascii="Times New Roman" w:hAnsi="Times New Roman"/>
      <w:b/>
      <w:sz w:val="32"/>
    </w:rPr>
  </w:style>
  <w:style w:type="paragraph" w:customStyle="1" w:styleId="AllowPageBreak">
    <w:name w:val="AllowPageBreak"/>
    <w:rsid w:val="006F2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E63"/>
    <w:rPr>
      <w:rFonts w:ascii="Courier New" w:eastAsia="Times New Roman" w:hAnsi="Courier New" w:cs="Times New Roman"/>
      <w:i/>
      <w:szCs w:val="20"/>
      <w:lang w:eastAsia="en-US"/>
    </w:rPr>
  </w:style>
  <w:style w:type="paragraph" w:customStyle="1" w:styleId="HeadingBase">
    <w:name w:val="Heading Base"/>
    <w:rsid w:val="006F2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E63"/>
    <w:pPr>
      <w:tabs>
        <w:tab w:val="right" w:leader="dot" w:pos="9072"/>
      </w:tabs>
      <w:ind w:left="567"/>
    </w:pPr>
    <w:rPr>
      <w:szCs w:val="22"/>
    </w:rPr>
  </w:style>
  <w:style w:type="paragraph" w:customStyle="1" w:styleId="TOCBase">
    <w:name w:val="TOC Base"/>
    <w:rsid w:val="006F2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E63"/>
    <w:pPr>
      <w:tabs>
        <w:tab w:val="right" w:leader="dot" w:pos="9072"/>
      </w:tabs>
      <w:spacing w:before="40" w:after="40"/>
      <w:ind w:left="284"/>
    </w:pPr>
    <w:rPr>
      <w:rFonts w:ascii="Times New Roman" w:hAnsi="Times New Roman"/>
    </w:rPr>
  </w:style>
  <w:style w:type="paragraph" w:styleId="TOC1">
    <w:name w:val="toc 1"/>
    <w:basedOn w:val="TOCBase"/>
    <w:next w:val="Normal"/>
    <w:rsid w:val="006F2E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E63"/>
    <w:rPr>
      <w:rFonts w:ascii="Times New Roman" w:eastAsia="Times New Roman" w:hAnsi="Times New Roman" w:cs="Times New Roman"/>
      <w:sz w:val="16"/>
      <w:lang w:eastAsia="en-US"/>
    </w:rPr>
  </w:style>
  <w:style w:type="paragraph" w:styleId="Title">
    <w:name w:val="Title"/>
    <w:basedOn w:val="HeadingBase"/>
    <w:link w:val="TitleChar"/>
    <w:qFormat/>
    <w:rsid w:val="006F2E63"/>
    <w:pPr>
      <w:spacing w:before="5040"/>
      <w:jc w:val="center"/>
    </w:pPr>
    <w:rPr>
      <w:sz w:val="48"/>
      <w:szCs w:val="72"/>
      <w:lang w:val="en-US"/>
    </w:rPr>
  </w:style>
  <w:style w:type="character" w:customStyle="1" w:styleId="TitleChar">
    <w:name w:val="Title Char"/>
    <w:basedOn w:val="DefaultParagraphFont"/>
    <w:link w:val="Title"/>
    <w:rsid w:val="006F2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E63"/>
    <w:pPr>
      <w:tabs>
        <w:tab w:val="left" w:pos="3600"/>
        <w:tab w:val="left" w:pos="3958"/>
      </w:tabs>
    </w:pPr>
  </w:style>
  <w:style w:type="paragraph" w:styleId="List">
    <w:name w:val="List"/>
    <w:basedOn w:val="BodyText"/>
    <w:next w:val="BodyText"/>
    <w:rsid w:val="006F2E63"/>
    <w:pPr>
      <w:tabs>
        <w:tab w:val="left" w:pos="340"/>
      </w:tabs>
      <w:spacing w:before="60" w:after="60"/>
      <w:ind w:left="340" w:hanging="340"/>
    </w:pPr>
  </w:style>
  <w:style w:type="paragraph" w:customStyle="1" w:styleId="Note">
    <w:name w:val="Note"/>
    <w:basedOn w:val="BodyText"/>
    <w:rsid w:val="006F2E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2E63"/>
    <w:rPr>
      <w:b/>
      <w:spacing w:val="0"/>
    </w:rPr>
  </w:style>
  <w:style w:type="paragraph" w:customStyle="1" w:styleId="SuperTitle">
    <w:name w:val="SuperTitle"/>
    <w:basedOn w:val="Title"/>
    <w:rsid w:val="006F2E63"/>
    <w:pPr>
      <w:framePr w:wrap="auto" w:hAnchor="text" w:y="6049"/>
    </w:pPr>
    <w:rPr>
      <w:color w:val="000000"/>
      <w:sz w:val="40"/>
    </w:rPr>
  </w:style>
  <w:style w:type="paragraph" w:customStyle="1" w:styleId="TOCTitle">
    <w:name w:val="TOCTitle"/>
    <w:basedOn w:val="Heading1"/>
    <w:rsid w:val="006F2E63"/>
    <w:pPr>
      <w:spacing w:after="240"/>
      <w:jc w:val="center"/>
      <w:outlineLvl w:val="9"/>
    </w:pPr>
    <w:rPr>
      <w:caps/>
    </w:rPr>
  </w:style>
  <w:style w:type="paragraph" w:customStyle="1" w:styleId="Version">
    <w:name w:val="Version"/>
    <w:rsid w:val="006F2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E63"/>
    <w:pPr>
      <w:keepNext w:val="0"/>
      <w:tabs>
        <w:tab w:val="right" w:pos="4176"/>
      </w:tabs>
      <w:ind w:left="198" w:hanging="198"/>
    </w:pPr>
    <w:rPr>
      <w:rFonts w:ascii="Garamond" w:hAnsi="Garamond"/>
    </w:rPr>
  </w:style>
  <w:style w:type="paragraph" w:styleId="IndexHeading">
    <w:name w:val="index heading"/>
    <w:basedOn w:val="Normal"/>
    <w:next w:val="Index1"/>
    <w:semiHidden/>
    <w:rsid w:val="006F2E63"/>
    <w:pPr>
      <w:spacing w:before="120" w:after="120"/>
    </w:pPr>
    <w:rPr>
      <w:rFonts w:ascii="Arial" w:hAnsi="Arial"/>
      <w:b/>
      <w:color w:val="918585"/>
      <w:sz w:val="24"/>
    </w:rPr>
  </w:style>
  <w:style w:type="paragraph" w:styleId="Header">
    <w:name w:val="header"/>
    <w:basedOn w:val="Normal"/>
    <w:link w:val="HeaderChar"/>
    <w:rsid w:val="006F2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E63"/>
    <w:rPr>
      <w:rFonts w:ascii="Times New Roman" w:eastAsia="Times New Roman" w:hAnsi="Times New Roman" w:cs="Times New Roman"/>
      <w:sz w:val="16"/>
      <w:szCs w:val="20"/>
      <w:lang w:val="en-GB" w:eastAsia="en-US"/>
    </w:rPr>
  </w:style>
  <w:style w:type="paragraph" w:customStyle="1" w:styleId="Chapter">
    <w:name w:val="Chapter"/>
    <w:basedOn w:val="Normal"/>
    <w:rsid w:val="006F2E63"/>
    <w:pPr>
      <w:spacing w:before="240"/>
    </w:pPr>
    <w:rPr>
      <w:rFonts w:ascii="Times New Roman" w:hAnsi="Times New Roman"/>
      <w:smallCaps/>
      <w:spacing w:val="80"/>
      <w:sz w:val="28"/>
    </w:rPr>
  </w:style>
  <w:style w:type="paragraph" w:customStyle="1" w:styleId="InChapter">
    <w:name w:val="InChapter"/>
    <w:basedOn w:val="Heading3"/>
    <w:rsid w:val="006F2E63"/>
    <w:pPr>
      <w:spacing w:after="240"/>
      <w:outlineLvl w:val="9"/>
    </w:pPr>
    <w:rPr>
      <w:noProof/>
    </w:rPr>
  </w:style>
  <w:style w:type="paragraph" w:styleId="Index2">
    <w:name w:val="index 2"/>
    <w:basedOn w:val="Normal"/>
    <w:next w:val="Normal"/>
    <w:semiHidden/>
    <w:rsid w:val="006F2E63"/>
    <w:pPr>
      <w:tabs>
        <w:tab w:val="right" w:pos="4176"/>
      </w:tabs>
      <w:ind w:left="568" w:hanging="284"/>
    </w:pPr>
    <w:rPr>
      <w:rFonts w:ascii="Garamond" w:hAnsi="Garamond"/>
    </w:rPr>
  </w:style>
  <w:style w:type="paragraph" w:customStyle="1" w:styleId="Byline">
    <w:name w:val="Byline"/>
    <w:rsid w:val="006F2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E63"/>
    <w:pPr>
      <w:tabs>
        <w:tab w:val="clear" w:pos="3600"/>
        <w:tab w:val="clear" w:pos="3958"/>
      </w:tabs>
      <w:jc w:val="right"/>
    </w:pPr>
  </w:style>
  <w:style w:type="character" w:styleId="Emphasis">
    <w:name w:val="Emphasis"/>
    <w:basedOn w:val="DefaultParagraphFont"/>
    <w:qFormat/>
    <w:rsid w:val="006F2E63"/>
    <w:rPr>
      <w:i/>
    </w:rPr>
  </w:style>
  <w:style w:type="paragraph" w:styleId="Caption">
    <w:name w:val="caption"/>
    <w:basedOn w:val="BodyText"/>
    <w:next w:val="Normal"/>
    <w:qFormat/>
    <w:rsid w:val="006F2E63"/>
    <w:pPr>
      <w:framePr w:w="2268" w:hSpace="181" w:vSpace="181" w:wrap="around" w:vAnchor="text" w:hAnchor="page" w:x="1135" w:y="285" w:anchorLock="1"/>
    </w:pPr>
    <w:rPr>
      <w:i/>
    </w:rPr>
  </w:style>
  <w:style w:type="paragraph" w:customStyle="1" w:styleId="MiniTOCTitle">
    <w:name w:val="MiniTOCTitle"/>
    <w:basedOn w:val="Heading4"/>
    <w:rsid w:val="006F2E63"/>
    <w:pPr>
      <w:spacing w:before="240"/>
      <w:outlineLvl w:val="9"/>
    </w:pPr>
    <w:rPr>
      <w:noProof/>
      <w:sz w:val="24"/>
    </w:rPr>
  </w:style>
  <w:style w:type="paragraph" w:customStyle="1" w:styleId="MiniTOCItem">
    <w:name w:val="MiniTOCItem"/>
    <w:basedOn w:val="ListBullet"/>
    <w:rsid w:val="006F2E63"/>
    <w:pPr>
      <w:numPr>
        <w:numId w:val="0"/>
      </w:numPr>
      <w:tabs>
        <w:tab w:val="right" w:leader="dot" w:pos="6521"/>
      </w:tabs>
      <w:spacing w:before="0" w:after="0"/>
    </w:pPr>
  </w:style>
  <w:style w:type="paragraph" w:customStyle="1" w:styleId="TOFTitle">
    <w:name w:val="TOFTitle"/>
    <w:basedOn w:val="TOCTitle"/>
    <w:rsid w:val="006F2E63"/>
  </w:style>
  <w:style w:type="paragraph" w:styleId="TableofFigures">
    <w:name w:val="table of figures"/>
    <w:basedOn w:val="Normal"/>
    <w:next w:val="Normal"/>
    <w:semiHidden/>
    <w:rsid w:val="006F2E63"/>
    <w:pPr>
      <w:tabs>
        <w:tab w:val="right" w:leader="dot" w:pos="9072"/>
      </w:tabs>
      <w:ind w:left="970" w:hanging="403"/>
    </w:pPr>
    <w:rPr>
      <w:rFonts w:ascii="Times New Roman" w:hAnsi="Times New Roman"/>
      <w:b/>
    </w:rPr>
  </w:style>
  <w:style w:type="paragraph" w:styleId="ListNumber">
    <w:name w:val="List Number"/>
    <w:basedOn w:val="List"/>
    <w:rsid w:val="006F2E63"/>
    <w:pPr>
      <w:numPr>
        <w:numId w:val="15"/>
      </w:numPr>
      <w:tabs>
        <w:tab w:val="clear" w:pos="340"/>
      </w:tabs>
    </w:pPr>
  </w:style>
  <w:style w:type="character" w:customStyle="1" w:styleId="WingdingSymbols">
    <w:name w:val="Wingding Symbols"/>
    <w:rsid w:val="006F2E63"/>
    <w:rPr>
      <w:rFonts w:ascii="Wingdings" w:hAnsi="Wingdings"/>
    </w:rPr>
  </w:style>
  <w:style w:type="paragraph" w:customStyle="1" w:styleId="TableHeading">
    <w:name w:val="Table Heading"/>
    <w:basedOn w:val="HeadingBase"/>
    <w:rsid w:val="006F2E63"/>
    <w:pPr>
      <w:keepLines/>
      <w:pBdr>
        <w:bottom w:val="single" w:sz="6" w:space="1" w:color="918585"/>
      </w:pBdr>
      <w:spacing w:before="240"/>
    </w:pPr>
  </w:style>
  <w:style w:type="character" w:customStyle="1" w:styleId="HotSpot">
    <w:name w:val="HotSpot"/>
    <w:rsid w:val="006F2E63"/>
    <w:rPr>
      <w:color w:val="0033CC"/>
      <w:u w:val="none"/>
    </w:rPr>
  </w:style>
  <w:style w:type="paragraph" w:customStyle="1" w:styleId="BodyTextRight">
    <w:name w:val="Body Text Right"/>
    <w:basedOn w:val="BodyText"/>
    <w:rsid w:val="006F2E63"/>
    <w:pPr>
      <w:spacing w:before="0" w:after="0"/>
      <w:jc w:val="right"/>
    </w:pPr>
  </w:style>
  <w:style w:type="paragraph" w:styleId="Index3">
    <w:name w:val="index 3"/>
    <w:basedOn w:val="ListNumber2"/>
    <w:next w:val="Normal"/>
    <w:semiHidden/>
    <w:rsid w:val="006F2E63"/>
    <w:pPr>
      <w:numPr>
        <w:numId w:val="0"/>
      </w:numPr>
      <w:tabs>
        <w:tab w:val="right" w:leader="dot" w:pos="4176"/>
      </w:tabs>
    </w:pPr>
  </w:style>
  <w:style w:type="paragraph" w:styleId="ListNumber2">
    <w:name w:val="List Number 2"/>
    <w:basedOn w:val="List2"/>
    <w:rsid w:val="006F2E63"/>
    <w:pPr>
      <w:numPr>
        <w:numId w:val="10"/>
      </w:numPr>
      <w:tabs>
        <w:tab w:val="clear" w:pos="1060"/>
      </w:tabs>
    </w:pPr>
  </w:style>
  <w:style w:type="paragraph" w:customStyle="1" w:styleId="MarginNote">
    <w:name w:val="Margin Note"/>
    <w:basedOn w:val="BodyText"/>
    <w:rsid w:val="006F2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E63"/>
    <w:rPr>
      <w:sz w:val="32"/>
    </w:rPr>
  </w:style>
  <w:style w:type="paragraph" w:customStyle="1" w:styleId="HeadingProcedure">
    <w:name w:val="Heading Procedure"/>
    <w:basedOn w:val="HeadingBase"/>
    <w:next w:val="Normal"/>
    <w:rsid w:val="006F2E63"/>
    <w:pPr>
      <w:tabs>
        <w:tab w:val="left" w:pos="0"/>
      </w:tabs>
      <w:spacing w:before="120" w:after="60"/>
    </w:pPr>
    <w:rPr>
      <w:i/>
      <w:color w:val="918585"/>
      <w:sz w:val="22"/>
    </w:rPr>
  </w:style>
  <w:style w:type="paragraph" w:customStyle="1" w:styleId="TableBodyText">
    <w:name w:val="Table Body Text"/>
    <w:basedOn w:val="BodyText"/>
    <w:rsid w:val="006F2E63"/>
    <w:pPr>
      <w:spacing w:before="60" w:after="60"/>
    </w:pPr>
  </w:style>
  <w:style w:type="paragraph" w:styleId="ListContinue">
    <w:name w:val="List Continue"/>
    <w:basedOn w:val="List"/>
    <w:rsid w:val="006F2E63"/>
    <w:pPr>
      <w:ind w:firstLine="0"/>
    </w:pPr>
  </w:style>
  <w:style w:type="paragraph" w:customStyle="1" w:styleId="ListNote">
    <w:name w:val="List Note"/>
    <w:basedOn w:val="List"/>
    <w:rsid w:val="006F2E63"/>
    <w:pPr>
      <w:pBdr>
        <w:top w:val="single" w:sz="6" w:space="2" w:color="918585"/>
        <w:bottom w:val="single" w:sz="6" w:space="2" w:color="918585"/>
      </w:pBdr>
      <w:tabs>
        <w:tab w:val="left" w:pos="1021"/>
      </w:tabs>
      <w:ind w:firstLine="0"/>
    </w:pPr>
  </w:style>
  <w:style w:type="paragraph" w:customStyle="1" w:styleId="Warning">
    <w:name w:val="Warning"/>
    <w:basedOn w:val="BodyText"/>
    <w:rsid w:val="006F2E63"/>
    <w:pPr>
      <w:shd w:val="clear" w:color="auto" w:fill="D9D9D9"/>
      <w:tabs>
        <w:tab w:val="left" w:pos="992"/>
      </w:tabs>
      <w:ind w:left="119" w:right="119"/>
    </w:pPr>
    <w:rPr>
      <w:sz w:val="20"/>
    </w:rPr>
  </w:style>
  <w:style w:type="paragraph" w:customStyle="1" w:styleId="MarginIcons">
    <w:name w:val="Margin Icons"/>
    <w:basedOn w:val="BodyText"/>
    <w:rsid w:val="006F2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E63"/>
    <w:rPr>
      <w:rFonts w:ascii="Courier New" w:hAnsi="Courier New"/>
    </w:rPr>
  </w:style>
  <w:style w:type="paragraph" w:customStyle="1" w:styleId="NoteBullet">
    <w:name w:val="Note Bullet"/>
    <w:basedOn w:val="Note"/>
    <w:rsid w:val="006F2E63"/>
    <w:pPr>
      <w:tabs>
        <w:tab w:val="clear" w:pos="680"/>
      </w:tabs>
      <w:spacing w:before="60" w:after="60"/>
    </w:pPr>
  </w:style>
  <w:style w:type="paragraph" w:customStyle="1" w:styleId="SubHeading2">
    <w:name w:val="SubHeading2"/>
    <w:basedOn w:val="HeadingBase"/>
    <w:rsid w:val="006F2E63"/>
    <w:pPr>
      <w:spacing w:before="240" w:after="60"/>
    </w:pPr>
    <w:rPr>
      <w:sz w:val="20"/>
    </w:rPr>
  </w:style>
  <w:style w:type="paragraph" w:customStyle="1" w:styleId="SubHeading1">
    <w:name w:val="SubHeading1"/>
    <w:basedOn w:val="HeadingBase"/>
    <w:rsid w:val="006F2E63"/>
    <w:pPr>
      <w:spacing w:before="240" w:after="60"/>
    </w:pPr>
    <w:rPr>
      <w:color w:val="918585"/>
      <w:sz w:val="22"/>
    </w:rPr>
  </w:style>
  <w:style w:type="paragraph" w:customStyle="1" w:styleId="SideHeading">
    <w:name w:val="Side Heading"/>
    <w:basedOn w:val="HeadingBase"/>
    <w:rsid w:val="006F2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E63"/>
    <w:pPr>
      <w:tabs>
        <w:tab w:val="num" w:pos="360"/>
      </w:tabs>
    </w:pPr>
  </w:style>
  <w:style w:type="paragraph" w:styleId="PlainText">
    <w:name w:val="Plain Text"/>
    <w:basedOn w:val="Normal"/>
    <w:link w:val="PlainTextChar"/>
    <w:rsid w:val="006F2E63"/>
    <w:rPr>
      <w:sz w:val="20"/>
    </w:rPr>
  </w:style>
  <w:style w:type="character" w:customStyle="1" w:styleId="PlainTextChar">
    <w:name w:val="Plain Text Char"/>
    <w:basedOn w:val="DefaultParagraphFont"/>
    <w:link w:val="PlainText"/>
    <w:rsid w:val="006F2E63"/>
    <w:rPr>
      <w:rFonts w:ascii="Courier New" w:eastAsia="Times New Roman" w:hAnsi="Courier New" w:cs="Times New Roman"/>
      <w:sz w:val="20"/>
      <w:szCs w:val="20"/>
      <w:lang w:eastAsia="en-US"/>
    </w:rPr>
  </w:style>
  <w:style w:type="character" w:customStyle="1" w:styleId="MenuOption">
    <w:name w:val="Menu Option"/>
    <w:basedOn w:val="DefaultParagraphFont"/>
    <w:rsid w:val="006F2E63"/>
    <w:rPr>
      <w:b/>
      <w:smallCaps/>
    </w:rPr>
  </w:style>
  <w:style w:type="paragraph" w:customStyle="1" w:styleId="TableListNumber">
    <w:name w:val="Table List Number"/>
    <w:basedOn w:val="ListNumber"/>
    <w:rsid w:val="006F2E63"/>
    <w:pPr>
      <w:numPr>
        <w:numId w:val="0"/>
      </w:numPr>
    </w:pPr>
  </w:style>
  <w:style w:type="paragraph" w:styleId="TOC4">
    <w:name w:val="toc 4"/>
    <w:basedOn w:val="TOCBase"/>
    <w:next w:val="Normal"/>
    <w:semiHidden/>
    <w:rsid w:val="006F2E63"/>
    <w:pPr>
      <w:tabs>
        <w:tab w:val="right" w:leader="dot" w:pos="9071"/>
      </w:tabs>
      <w:ind w:left="1701"/>
    </w:pPr>
  </w:style>
  <w:style w:type="paragraph" w:customStyle="1" w:styleId="ListAlpha">
    <w:name w:val="List Alpha"/>
    <w:basedOn w:val="List"/>
    <w:rsid w:val="006F2E63"/>
    <w:pPr>
      <w:numPr>
        <w:numId w:val="9"/>
      </w:numPr>
    </w:pPr>
  </w:style>
  <w:style w:type="paragraph" w:customStyle="1" w:styleId="ListAlpha2">
    <w:name w:val="List Alpha 2"/>
    <w:basedOn w:val="List2"/>
    <w:rsid w:val="006F2E63"/>
    <w:pPr>
      <w:numPr>
        <w:numId w:val="8"/>
      </w:numPr>
    </w:pPr>
  </w:style>
  <w:style w:type="paragraph" w:styleId="List2">
    <w:name w:val="List 2"/>
    <w:basedOn w:val="BodyText"/>
    <w:rsid w:val="006F2E63"/>
    <w:pPr>
      <w:tabs>
        <w:tab w:val="left" w:pos="680"/>
      </w:tabs>
      <w:spacing w:before="60" w:after="60"/>
      <w:ind w:left="680" w:hanging="340"/>
    </w:pPr>
  </w:style>
  <w:style w:type="paragraph" w:styleId="List3">
    <w:name w:val="List 3"/>
    <w:basedOn w:val="BodyText"/>
    <w:rsid w:val="006F2E63"/>
    <w:pPr>
      <w:tabs>
        <w:tab w:val="left" w:pos="1021"/>
      </w:tabs>
      <w:spacing w:before="60" w:after="60"/>
      <w:ind w:left="1020" w:hanging="340"/>
    </w:pPr>
  </w:style>
  <w:style w:type="paragraph" w:styleId="List4">
    <w:name w:val="List 4"/>
    <w:basedOn w:val="BodyText"/>
    <w:rsid w:val="006F2E63"/>
    <w:pPr>
      <w:tabs>
        <w:tab w:val="left" w:pos="1361"/>
      </w:tabs>
      <w:spacing w:before="60" w:after="60"/>
      <w:ind w:left="1361" w:hanging="340"/>
    </w:pPr>
  </w:style>
  <w:style w:type="paragraph" w:styleId="List5">
    <w:name w:val="List 5"/>
    <w:basedOn w:val="BodyText"/>
    <w:rsid w:val="006F2E63"/>
    <w:pPr>
      <w:tabs>
        <w:tab w:val="left" w:pos="1701"/>
      </w:tabs>
      <w:spacing w:before="60" w:after="60"/>
      <w:ind w:left="1701" w:hanging="340"/>
    </w:pPr>
  </w:style>
  <w:style w:type="paragraph" w:styleId="ListBullet3">
    <w:name w:val="List Bullet 3"/>
    <w:basedOn w:val="List3"/>
    <w:rsid w:val="006F2E63"/>
    <w:pPr>
      <w:numPr>
        <w:numId w:val="14"/>
      </w:numPr>
      <w:tabs>
        <w:tab w:val="clear" w:pos="1021"/>
      </w:tabs>
      <w:ind w:left="1037" w:hanging="357"/>
    </w:pPr>
  </w:style>
  <w:style w:type="paragraph" w:styleId="ListBullet4">
    <w:name w:val="List Bullet 4"/>
    <w:basedOn w:val="List4"/>
    <w:rsid w:val="006F2E63"/>
    <w:pPr>
      <w:numPr>
        <w:numId w:val="3"/>
      </w:numPr>
      <w:tabs>
        <w:tab w:val="clear" w:pos="1361"/>
      </w:tabs>
    </w:pPr>
  </w:style>
  <w:style w:type="paragraph" w:styleId="ListBullet5">
    <w:name w:val="List Bullet 5"/>
    <w:basedOn w:val="List5"/>
    <w:rsid w:val="006F2E63"/>
    <w:pPr>
      <w:numPr>
        <w:numId w:val="4"/>
      </w:numPr>
    </w:pPr>
  </w:style>
  <w:style w:type="paragraph" w:styleId="ListContinue2">
    <w:name w:val="List Continue 2"/>
    <w:basedOn w:val="List2"/>
    <w:rsid w:val="006F2E63"/>
    <w:pPr>
      <w:ind w:firstLine="0"/>
    </w:pPr>
  </w:style>
  <w:style w:type="paragraph" w:styleId="ListContinue3">
    <w:name w:val="List Continue 3"/>
    <w:basedOn w:val="List3"/>
    <w:rsid w:val="006F2E63"/>
    <w:pPr>
      <w:ind w:left="1021" w:firstLine="0"/>
    </w:pPr>
  </w:style>
  <w:style w:type="paragraph" w:styleId="ListContinue4">
    <w:name w:val="List Continue 4"/>
    <w:basedOn w:val="List4"/>
    <w:rsid w:val="006F2E63"/>
    <w:pPr>
      <w:ind w:firstLine="0"/>
    </w:pPr>
  </w:style>
  <w:style w:type="paragraph" w:styleId="ListContinue5">
    <w:name w:val="List Continue 5"/>
    <w:basedOn w:val="List5"/>
    <w:rsid w:val="006F2E63"/>
    <w:pPr>
      <w:ind w:firstLine="0"/>
    </w:pPr>
  </w:style>
  <w:style w:type="paragraph" w:styleId="ListNumber3">
    <w:name w:val="List Number 3"/>
    <w:basedOn w:val="List3"/>
    <w:rsid w:val="006F2E63"/>
    <w:pPr>
      <w:numPr>
        <w:numId w:val="5"/>
      </w:numPr>
    </w:pPr>
  </w:style>
  <w:style w:type="paragraph" w:styleId="ListNumber4">
    <w:name w:val="List Number 4"/>
    <w:basedOn w:val="List4"/>
    <w:rsid w:val="006F2E63"/>
    <w:pPr>
      <w:numPr>
        <w:numId w:val="6"/>
      </w:numPr>
    </w:pPr>
  </w:style>
  <w:style w:type="paragraph" w:styleId="ListNumber5">
    <w:name w:val="List Number 5"/>
    <w:basedOn w:val="List5"/>
    <w:rsid w:val="006F2E63"/>
    <w:pPr>
      <w:numPr>
        <w:numId w:val="7"/>
      </w:numPr>
    </w:pPr>
  </w:style>
  <w:style w:type="paragraph" w:styleId="BlockText">
    <w:name w:val="Block Text"/>
    <w:basedOn w:val="Normal"/>
    <w:rsid w:val="006F2E63"/>
    <w:pPr>
      <w:spacing w:after="120"/>
      <w:ind w:left="1440" w:right="1440"/>
    </w:pPr>
  </w:style>
  <w:style w:type="character" w:customStyle="1" w:styleId="Subscript">
    <w:name w:val="Subscript"/>
    <w:basedOn w:val="DefaultParagraphFont"/>
    <w:rsid w:val="006F2E63"/>
    <w:rPr>
      <w:sz w:val="16"/>
      <w:vertAlign w:val="subscript"/>
    </w:rPr>
  </w:style>
  <w:style w:type="character" w:customStyle="1" w:styleId="Superscript">
    <w:name w:val="Superscript"/>
    <w:basedOn w:val="DefaultParagraphFont"/>
    <w:rsid w:val="006F2E63"/>
    <w:rPr>
      <w:sz w:val="16"/>
      <w:vertAlign w:val="superscript"/>
    </w:rPr>
  </w:style>
  <w:style w:type="character" w:customStyle="1" w:styleId="Symbols">
    <w:name w:val="Symbols"/>
    <w:basedOn w:val="DefaultParagraphFont"/>
    <w:rsid w:val="006F2E63"/>
    <w:rPr>
      <w:rFonts w:ascii="Symbol" w:hAnsi="Symbol"/>
    </w:rPr>
  </w:style>
  <w:style w:type="character" w:customStyle="1" w:styleId="MenuOptions">
    <w:name w:val="Menu Options"/>
    <w:basedOn w:val="DefaultParagraphFont"/>
    <w:rsid w:val="006F2E63"/>
    <w:rPr>
      <w:rFonts w:ascii="Arial Narrow" w:hAnsi="Arial Narrow"/>
      <w:smallCaps/>
    </w:rPr>
  </w:style>
  <w:style w:type="character" w:customStyle="1" w:styleId="Buttons">
    <w:name w:val="Buttons"/>
    <w:basedOn w:val="DefaultParagraphFont"/>
    <w:rsid w:val="006F2E63"/>
    <w:rPr>
      <w:b/>
    </w:rPr>
  </w:style>
  <w:style w:type="character" w:customStyle="1" w:styleId="Underlined">
    <w:name w:val="Underlined"/>
    <w:basedOn w:val="DefaultParagraphFont"/>
    <w:rsid w:val="006F2E63"/>
    <w:rPr>
      <w:u w:val="single"/>
    </w:rPr>
  </w:style>
  <w:style w:type="paragraph" w:customStyle="1" w:styleId="TableBodyTextRight">
    <w:name w:val="Table Body Text Right"/>
    <w:basedOn w:val="TableBodyText"/>
    <w:rsid w:val="006F2E63"/>
    <w:pPr>
      <w:widowControl w:val="0"/>
      <w:autoSpaceDE w:val="0"/>
      <w:autoSpaceDN w:val="0"/>
      <w:adjustRightInd w:val="0"/>
      <w:jc w:val="right"/>
    </w:pPr>
    <w:rPr>
      <w:rFonts w:cs="Arial"/>
      <w:szCs w:val="18"/>
    </w:rPr>
  </w:style>
  <w:style w:type="paragraph" w:customStyle="1" w:styleId="CopyrightText">
    <w:name w:val="Copyright Text"/>
    <w:basedOn w:val="BodyText"/>
    <w:rsid w:val="006F2E63"/>
    <w:rPr>
      <w:sz w:val="18"/>
    </w:rPr>
  </w:style>
  <w:style w:type="paragraph" w:customStyle="1" w:styleId="BodySmallRight">
    <w:name w:val="Body Small Right"/>
    <w:basedOn w:val="BodyTextRight"/>
    <w:rsid w:val="006F2E63"/>
    <w:rPr>
      <w:sz w:val="18"/>
      <w:szCs w:val="18"/>
    </w:rPr>
  </w:style>
  <w:style w:type="paragraph" w:customStyle="1" w:styleId="MarginEdition">
    <w:name w:val="Margin Edition"/>
    <w:basedOn w:val="MarginNote"/>
    <w:rsid w:val="006F2E63"/>
    <w:pPr>
      <w:spacing w:before="0" w:after="0"/>
    </w:pPr>
    <w:rPr>
      <w:rFonts w:ascii="Times New Roman" w:hAnsi="Times New Roman"/>
      <w:color w:val="999999"/>
    </w:rPr>
  </w:style>
  <w:style w:type="paragraph" w:customStyle="1" w:styleId="Spacer">
    <w:name w:val="Spacer"/>
    <w:basedOn w:val="Normal"/>
    <w:rsid w:val="006F2E63"/>
    <w:rPr>
      <w:sz w:val="2"/>
      <w:szCs w:val="2"/>
    </w:rPr>
  </w:style>
  <w:style w:type="character" w:customStyle="1" w:styleId="Small">
    <w:name w:val="Small"/>
    <w:basedOn w:val="DefaultParagraphFont"/>
    <w:rsid w:val="006F2E63"/>
    <w:rPr>
      <w:sz w:val="16"/>
    </w:rPr>
  </w:style>
  <w:style w:type="paragraph" w:customStyle="1" w:styleId="WideTable">
    <w:name w:val="Wide Table"/>
    <w:basedOn w:val="Normal"/>
    <w:rsid w:val="006F2E63"/>
    <w:pPr>
      <w:ind w:left="-1418"/>
    </w:pPr>
    <w:rPr>
      <w:sz w:val="2"/>
      <w:szCs w:val="2"/>
    </w:rPr>
  </w:style>
  <w:style w:type="character" w:styleId="PageNumber">
    <w:name w:val="page number"/>
    <w:basedOn w:val="DefaultParagraphFont"/>
    <w:rsid w:val="006F2E63"/>
  </w:style>
  <w:style w:type="paragraph" w:styleId="Quote">
    <w:name w:val="Quote"/>
    <w:basedOn w:val="Heading1"/>
    <w:link w:val="QuoteChar"/>
    <w:qFormat/>
    <w:rsid w:val="006F2E63"/>
    <w:rPr>
      <w:b w:val="0"/>
      <w:sz w:val="72"/>
      <w:szCs w:val="72"/>
      <w:lang w:val="en-NZ"/>
    </w:rPr>
  </w:style>
  <w:style w:type="character" w:customStyle="1" w:styleId="QuoteChar">
    <w:name w:val="Quote Char"/>
    <w:basedOn w:val="DefaultParagraphFont"/>
    <w:link w:val="Quote"/>
    <w:rsid w:val="006F2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E63"/>
    <w:pPr>
      <w:pageBreakBefore/>
    </w:pPr>
  </w:style>
  <w:style w:type="paragraph" w:customStyle="1" w:styleId="Border">
    <w:name w:val="Border"/>
    <w:basedOn w:val="Normal"/>
    <w:qFormat/>
    <w:rsid w:val="006F2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E63"/>
    <w:rPr>
      <w:b/>
      <w:bCs/>
      <w:i/>
      <w:iCs/>
      <w:color w:val="auto"/>
    </w:rPr>
  </w:style>
  <w:style w:type="paragraph" w:styleId="IntenseQuote">
    <w:name w:val="Intense Quote"/>
    <w:basedOn w:val="Normal"/>
    <w:next w:val="Normal"/>
    <w:link w:val="IntenseQuoteChar"/>
    <w:uiPriority w:val="30"/>
    <w:qFormat/>
    <w:rsid w:val="006F2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E63"/>
    <w:rPr>
      <w:smallCaps/>
      <w:color w:val="auto"/>
      <w:u w:val="single"/>
    </w:rPr>
  </w:style>
  <w:style w:type="character" w:styleId="IntenseReference">
    <w:name w:val="Intense Reference"/>
    <w:basedOn w:val="DefaultParagraphFont"/>
    <w:uiPriority w:val="32"/>
    <w:qFormat/>
    <w:rsid w:val="006F2E63"/>
    <w:rPr>
      <w:b/>
      <w:bCs/>
      <w:smallCaps/>
      <w:color w:val="auto"/>
      <w:spacing w:val="5"/>
      <w:u w:val="single"/>
    </w:rPr>
  </w:style>
  <w:style w:type="paragraph" w:customStyle="1" w:styleId="2ColumnHeading">
    <w:name w:val="2Column Heading"/>
    <w:basedOn w:val="BodyText"/>
    <w:qFormat/>
    <w:rsid w:val="006F2E63"/>
    <w:pPr>
      <w:spacing w:after="60"/>
      <w:ind w:left="-2268"/>
    </w:pPr>
    <w:rPr>
      <w:b/>
    </w:rPr>
  </w:style>
  <w:style w:type="paragraph" w:customStyle="1" w:styleId="Heading1TOC">
    <w:name w:val="Heading1 TOC"/>
    <w:basedOn w:val="Normal"/>
    <w:qFormat/>
    <w:rsid w:val="006F2E63"/>
    <w:pPr>
      <w:spacing w:before="240" w:after="120"/>
    </w:pPr>
    <w:rPr>
      <w:rFonts w:ascii="Times New Roman" w:hAnsi="Times New Roman"/>
      <w:b/>
      <w:sz w:val="32"/>
    </w:rPr>
  </w:style>
  <w:style w:type="paragraph" w:customStyle="1" w:styleId="Heading2TOC">
    <w:name w:val="Heading2 TOC"/>
    <w:basedOn w:val="Normal"/>
    <w:qFormat/>
    <w:rsid w:val="006F2E63"/>
    <w:pPr>
      <w:spacing w:before="240" w:after="60"/>
    </w:pPr>
    <w:rPr>
      <w:rFonts w:ascii="Times New Roman" w:hAnsi="Times New Roman"/>
      <w:b/>
      <w:sz w:val="28"/>
    </w:rPr>
  </w:style>
  <w:style w:type="character" w:customStyle="1" w:styleId="Underline">
    <w:name w:val="Underline"/>
    <w:basedOn w:val="DefaultParagraphFont"/>
    <w:qFormat/>
    <w:rsid w:val="006F2E63"/>
    <w:rPr>
      <w:u w:val="single"/>
    </w:rPr>
  </w:style>
  <w:style w:type="character" w:customStyle="1" w:styleId="BoldandItalics">
    <w:name w:val="Bold and Italics"/>
    <w:qFormat/>
    <w:rsid w:val="006F2E63"/>
    <w:rPr>
      <w:b/>
      <w:i/>
      <w:u w:val="none"/>
    </w:rPr>
  </w:style>
  <w:style w:type="paragraph" w:styleId="BalloonText">
    <w:name w:val="Balloon Text"/>
    <w:basedOn w:val="Normal"/>
    <w:link w:val="BalloonTextChar"/>
    <w:rsid w:val="006F2E63"/>
    <w:rPr>
      <w:rFonts w:ascii="Tahoma" w:hAnsi="Tahoma" w:cs="Tahoma"/>
      <w:sz w:val="16"/>
      <w:szCs w:val="16"/>
    </w:rPr>
  </w:style>
  <w:style w:type="character" w:customStyle="1" w:styleId="BalloonTextChar">
    <w:name w:val="Balloon Text Char"/>
    <w:basedOn w:val="DefaultParagraphFont"/>
    <w:link w:val="BalloonText"/>
    <w:rsid w:val="006F2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E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E63"/>
    <w:rPr>
      <w:b/>
      <w:color w:val="660033"/>
      <w:spacing w:val="0"/>
    </w:rPr>
  </w:style>
  <w:style w:type="paragraph" w:customStyle="1" w:styleId="Nameditemlist">
    <w:name w:val="Named item list"/>
    <w:basedOn w:val="BodyText"/>
    <w:qFormat/>
    <w:rsid w:val="006F2E63"/>
    <w:pPr>
      <w:tabs>
        <w:tab w:val="left" w:pos="2835"/>
      </w:tabs>
      <w:ind w:left="2835" w:hanging="2835"/>
    </w:pPr>
  </w:style>
  <w:style w:type="paragraph" w:customStyle="1" w:styleId="BodyTextnopadding">
    <w:name w:val="Body Text no padding"/>
    <w:basedOn w:val="BodyText"/>
    <w:qFormat/>
    <w:rsid w:val="006F2E63"/>
    <w:pPr>
      <w:spacing w:before="0" w:after="0"/>
    </w:pPr>
  </w:style>
  <w:style w:type="paragraph" w:customStyle="1" w:styleId="BodyTextBold">
    <w:name w:val="Body Text Bold"/>
    <w:basedOn w:val="BodyText"/>
    <w:qFormat/>
    <w:rsid w:val="006F2E63"/>
    <w:rPr>
      <w:b/>
    </w:rPr>
  </w:style>
  <w:style w:type="character" w:styleId="Hyperlink">
    <w:name w:val="Hyperlink"/>
    <w:basedOn w:val="DefaultParagraphFont"/>
    <w:uiPriority w:val="99"/>
    <w:unhideWhenUsed/>
    <w:rsid w:val="00AB65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1281</Words>
  <Characters>7986</Characters>
  <Application>Microsoft Office Word</Application>
  <DocSecurity>0</DocSecurity>
  <Lines>363</Lines>
  <Paragraphs>159</Paragraphs>
  <ScaleCrop>false</ScaleCrop>
  <Company>Author-it Software Corporation Ltd.</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CPCCDE5001 Conduct air monitoring and clearance inspections for asbestos removal work</dc:title>
  <dc:subject>Approved</dc:subject>
  <dc:creator>BuildSkills Australia</dc:creator>
  <cp:keywords>Release: 1</cp:keywords>
  <dc:description>Review Date: 12 April 2008</dc:description>
  <cp:lastModifiedBy>HSD_TPCMSd.prod</cp:lastModifiedBy>
  <cp:revision>3</cp:revision>
  <dcterms:created xsi:type="dcterms:W3CDTF">2024-12-24T01:22:00Z</dcterms:created>
  <dcterms:modified xsi:type="dcterms:W3CDTF">2024-12-24T01:22:00Z</dcterms:modified>
</cp:coreProperties>
</file>