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440" w:rsidP="00840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CPCCDE4008 Supervise asbestos removal</w:t>
      </w:r>
      <w:r>
        <w:fldChar w:fldCharType="end"/>
      </w:r>
    </w:p>
    <w:p w:rsidR="00840440" w:rsidP="00840440">
      <w:pPr>
        <w:pStyle w:val="Version"/>
        <w:sectPr w:rsidSect="00BB2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2296" w:rsidP="00BB2296">
      <w:pPr>
        <w:pStyle w:val="SuperHeading"/>
      </w:pPr>
      <w:r w:rsidRPr="00BB2296">
        <w:t>CPCCDE4008 Supervise asbestos removal</w:t>
      </w:r>
    </w:p>
    <w:p w:rsidR="00000000" w:rsidRPr="00BB2296" w:rsidP="00BB2296">
      <w:pPr>
        <w:pStyle w:val="Heading1"/>
      </w:pPr>
      <w:bookmarkStart w:id="1" w:name="O_1205149"/>
      <w:bookmarkEnd w:id="1"/>
      <w:r w:rsidRPr="00BB2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>This version first released with CPC Construction, Plumbing and Services Training Package Release 6.5.</w:t>
            </w:r>
          </w:p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Prerequisite unit list updated to read CPCCDE3014 Remove non-friable asbestos and/or CPCCDE3015 Remove friable asbestos.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>This version first released with CPC Construction, Plumbing and Services Training Package Release 5.0.</w:t>
            </w:r>
          </w:p>
          <w:p w:rsidR="00000000" w:rsidRPr="00BB2296" w:rsidP="00BB2296">
            <w:pPr>
              <w:pStyle w:val="BodyText"/>
            </w:pPr>
            <w:r w:rsidRPr="00BB2296">
              <w:t>Supersedes and is equivalent to CPCCBC4051A Supervise asbestos removal.  Updated to meet the Standards for Training Packages 2012.</w:t>
            </w:r>
          </w:p>
        </w:tc>
      </w:tr>
    </w:tbl>
    <w:p w:rsidR="00000000" w:rsidRPr="00BB2296" w:rsidP="00BB2296">
      <w:pPr>
        <w:pStyle w:val="BodyText"/>
      </w:pP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2" w:name="O_1205148"/>
      <w:bookmarkEnd w:id="2"/>
      <w:r w:rsidRPr="00BB2296">
        <w:t>Application</w:t>
      </w:r>
    </w:p>
    <w:p w:rsidR="00000000" w:rsidRPr="00BB2296" w:rsidP="00840440">
      <w:pPr>
        <w:pStyle w:val="BodyText"/>
      </w:pPr>
      <w:r w:rsidRPr="00BB2296">
        <w:t>This unit of competency specifies the outcomes required to supervise the removal process for friable and non-friable asbestos containing material (ACM). The unit includes planning for and supervising the removal process, including prep</w:t>
      </w:r>
      <w:r w:rsidRPr="00BB2296">
        <w:t>aring the work area and the worksite, using safe and compliant removal practices, maintaining safety procedures, and supervising the decontamination and removal processes.</w:t>
      </w:r>
    </w:p>
    <w:p w:rsidR="00000000" w:rsidRPr="00BB2296" w:rsidP="00840440">
      <w:pPr>
        <w:pStyle w:val="BodyText"/>
      </w:pPr>
      <w:r w:rsidRPr="00BB2296">
        <w:t xml:space="preserve">Ensuring compliance with the asbestos removal control plan (ARCP) is central to the </w:t>
      </w:r>
      <w:r w:rsidRPr="00BB2296">
        <w:t>effective performance of the role. This includes ensuring and documenting that required air monitoring and other testing and certification processes are conducted by licensed asbestos assessors according to legislation.</w:t>
      </w:r>
    </w:p>
    <w:p w:rsidR="00000000" w:rsidRPr="00BB2296" w:rsidP="00840440">
      <w:pPr>
        <w:pStyle w:val="BodyText"/>
      </w:pPr>
      <w:r w:rsidRPr="00BB2296">
        <w:t>Site locations include domestic, com</w:t>
      </w:r>
      <w:r w:rsidRPr="00BB2296">
        <w:t>mercial, demolition and construction, ships, soils and fences.</w:t>
      </w:r>
    </w:p>
    <w:p w:rsidR="00000000" w:rsidRPr="00BB2296" w:rsidP="00840440">
      <w:pPr>
        <w:pStyle w:val="BodyText"/>
      </w:pPr>
      <w:r w:rsidRPr="00BB2296">
        <w:t>Occupational licenses are required nationally. Work must be completed according to relevant legislation, the Code of Practice for the Safe Removal of Asbestos, industry guidelines, customer and</w:t>
      </w:r>
      <w:r w:rsidRPr="00BB2296">
        <w:t xml:space="preserve"> organisational requirements, including work health and safety (WHS) policies and procedures, and regulatory requirements. </w:t>
      </w:r>
    </w:p>
    <w:p w:rsidR="00000000" w:rsidRPr="00BB2296" w:rsidP="00840440">
      <w:pPr>
        <w:pStyle w:val="BodyText"/>
      </w:pPr>
      <w:r w:rsidRPr="00BB2296">
        <w:t>This unit is required for all supervisors of the ACM removal process. Candidates wishing to supervise friable ACM removal must compl</w:t>
      </w:r>
      <w:r w:rsidRPr="00BB2296">
        <w:t>ete CPCCCDE3015 Remove friable asbestos. Candidates wishing to supervise non-friable ACM removal must complete CPCCCDE3014 Remove non-friable asbestos.</w:t>
      </w:r>
    </w:p>
    <w:p w:rsidR="00000000" w:rsidRPr="00BB2296" w:rsidP="00840440">
      <w:pPr>
        <w:pStyle w:val="BodyText"/>
      </w:pPr>
      <w:r w:rsidRPr="00BB2296">
        <w:t>Candidates are advised to check for regulatory requirements relating to relevant industry experience for</w:t>
      </w:r>
      <w:r w:rsidRPr="00BB2296">
        <w:t xml:space="preserve"> licensing purposes. </w:t>
      </w:r>
    </w:p>
    <w:p w:rsidR="00000000" w:rsidRPr="00BB2296" w:rsidP="00BB2296">
      <w:pPr>
        <w:pStyle w:val="Heading1"/>
      </w:pPr>
      <w:bookmarkStart w:id="3" w:name="O_1205147"/>
      <w:bookmarkEnd w:id="3"/>
      <w:r w:rsidRPr="00BB229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CPCCDE3014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Remove non-friable asbestos, and/or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CPCCDE3015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>Remove friable asbestos</w:t>
            </w:r>
          </w:p>
        </w:tc>
      </w:tr>
    </w:tbl>
    <w:p w:rsidR="00000000" w:rsidRPr="00BB2296" w:rsidP="00BB2296">
      <w:pPr>
        <w:pStyle w:val="BodyText"/>
      </w:pP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4" w:name="O_1205146"/>
      <w:bookmarkEnd w:id="4"/>
      <w:r w:rsidRPr="00BB2296">
        <w:t>Unit Sector</w:t>
      </w:r>
    </w:p>
    <w:p w:rsidR="00000000" w:rsidRPr="00BB2296" w:rsidP="00840440">
      <w:pPr>
        <w:pStyle w:val="BodyText"/>
      </w:pPr>
      <w:r w:rsidRPr="00BB2296">
        <w:t>Demolition.</w:t>
      </w:r>
    </w:p>
    <w:p w:rsidR="00000000" w:rsidRPr="00BB2296" w:rsidP="00BB2296">
      <w:pPr>
        <w:pStyle w:val="Heading1"/>
      </w:pPr>
      <w:bookmarkStart w:id="5" w:name="O_1205145"/>
      <w:bookmarkEnd w:id="5"/>
      <w:r w:rsidRPr="00BB22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Performance criteria describe what needs to be done to demonstrate achievement of the element.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Plan supervision of asbestos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Obtain and interpret work instructions, client’</w:t>
            </w:r>
            <w:r w:rsidRPr="00BB2296">
              <w:t xml:space="preserve">s brief, asbestos register, if available, and relevant information to ensure a compliant removal process.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Develop asbestos removal control plan (ARCP) and safe work method statements (SWMS). 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Inspect worksite to identify scope of job and conduct initial preparations according to ARCP and SWMS.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Identify and notify regulator and all parties affected by removal of ACM.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Confirm staffing and competency requirements for the job.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Confirm health monitoring of workers is being undertaken.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Calculate quantity of ACM to be removed and materials and equipment required for the job.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Identify licensed asbestos disposal facility for transport and disposal of asbestos according to environmental regulatory obligations and record in ARCP.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Prepare and plan for air monitoring and a clearance inspection by a licensed asbestos assessor </w:t>
            </w:r>
            <w:r w:rsidRPr="00BB2296">
              <w:t>(friable) or competent person (non-friable).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Identify, source and ensure serviceability of plant, tools, </w:t>
            </w:r>
            <w:r w:rsidRPr="00BB2296">
              <w:t>equipment and personal protective equipment (PPE).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Plan work schedules to ensure compliant supervision of the asbestos removal job.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Oversee the preparation for asbestos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Maintain required on-site records.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Induct workers and provide the ARCP for safe and compliant operation of the job.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Ensure PPE for workers is provided and stored on site. 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Ensure signage and barricades are erected to delineate the asbestos work area from the worksite in accordance with the ARCP.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Manage the serviceability checks for equipment and tools conforming with manufacturer specifications for use.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Ensure that utilities are deactivated and secured, and relevant persons are notified prior to commencing work.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Identify asbestos waste storage and waste transit route according to site-specific ARCP.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Supervise compliant testing.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Communicate with the licensed asbestos assessor to ensure compliance with legislative requirements for air monitoring and enclosure integrity.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Check conformity of air monitoring test result in consultation with licensed asbestos assessor and apply </w:t>
            </w:r>
            <w:r w:rsidRPr="00BB2296">
              <w:t>relevant action in accordance with regulatory requirements.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Notify health and safety regulator if air monitoring levels are above 0.02 fibres/millilitre.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Post daily air monitoring readings on the worksite according to legislative requirements.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Supervise removal and decontamination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Manage ongoing serviceability checks for equipment and tools conform</w:t>
            </w:r>
            <w:r w:rsidRPr="00BB2296">
              <w:t>ing with manufacturer specifications for use.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Supervise removal of asbestos according to the ARCP and SWMS.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Organise removal of ACM waste from site according to environmental regulatory obligations and ARCP.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 xml:space="preserve">Supervise facilities and processes to ensure compliant decontamination of workers, work area and worksite, including plant, tools and equipment. 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Secure site until clearance inspection is undertaken and clearance certificate has been received.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</w:t>
            </w:r>
            <w:r w:rsidRPr="00BB2296">
              <w:t>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Upon receiving clearance certificate ensure decontaminated plant, tools and equipment are removed from the work area.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 xml:space="preserve">Supervise the dismantling of enclosures and relevant equipment (friable) and clean up. </w:t>
            </w:r>
          </w:p>
        </w:tc>
      </w:tr>
    </w:tbl>
    <w:p w:rsidR="00000000" w:rsidRPr="00BB2296" w:rsidP="00BB2296">
      <w:pPr>
        <w:pStyle w:val="BodyText"/>
      </w:pP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6" w:name="O_1205144"/>
      <w:bookmarkEnd w:id="6"/>
      <w:r w:rsidRPr="00BB2296">
        <w:t>Foundation Skills</w:t>
      </w:r>
    </w:p>
    <w:p w:rsidR="00000000" w:rsidRPr="00BB2296" w:rsidP="00840440">
      <w:pPr>
        <w:pStyle w:val="BodyText"/>
      </w:pPr>
      <w:r w:rsidRPr="00BB2296">
        <w:t xml:space="preserve">This section describes the language, literacy, numeracy and employment skills essential to performance in this unit but not explicit in the performance criteria: </w:t>
      </w:r>
    </w:p>
    <w:p w:rsidR="00000000" w:rsidRPr="00BB2296" w:rsidP="00BB2296">
      <w:pPr>
        <w:pStyle w:val="ListBullet"/>
      </w:pPr>
      <w:r w:rsidRPr="00BB2296">
        <w:t>technology skills to:</w:t>
      </w:r>
    </w:p>
    <w:p w:rsidR="00000000" w:rsidRPr="00BB2296" w:rsidP="00BB2296">
      <w:pPr>
        <w:pStyle w:val="ListBullet2"/>
      </w:pPr>
      <w:r w:rsidRPr="00BB2296">
        <w:t>use communication tools and devices to communicate and collaborate ef</w:t>
      </w:r>
      <w:r w:rsidRPr="00BB2296">
        <w:t>fectively with others</w:t>
      </w:r>
    </w:p>
    <w:p w:rsidR="00000000" w:rsidRPr="00BB2296" w:rsidP="00BB2296">
      <w:pPr>
        <w:pStyle w:val="ListBullet2"/>
      </w:pPr>
      <w:r w:rsidRPr="00BB2296">
        <w:t>use equipment and programs to access, extract information and develop relevant documentation.</w:t>
      </w: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7" w:name="O_1205143"/>
      <w:bookmarkEnd w:id="7"/>
      <w:r w:rsidRPr="00BB2296">
        <w:t>Unit Mapping Information</w:t>
      </w:r>
    </w:p>
    <w:p w:rsidR="00000000" w:rsidRPr="00BB2296" w:rsidP="00840440">
      <w:pPr>
        <w:pStyle w:val="BodyText"/>
      </w:pPr>
      <w:r w:rsidRPr="00BB2296">
        <w:t>Supersedes and is equivalent to CPCCBC4051A Supervise asbestos removal.</w:t>
      </w:r>
    </w:p>
    <w:p w:rsidR="00000000" w:rsidRPr="00BB2296" w:rsidP="00BB2296">
      <w:pPr>
        <w:pStyle w:val="Heading1"/>
      </w:pPr>
      <w:bookmarkStart w:id="8" w:name="O_1205150"/>
      <w:bookmarkEnd w:id="8"/>
      <w:r w:rsidRPr="00BB2296">
        <w:t>Links</w:t>
      </w:r>
    </w:p>
    <w:p w:rsidR="00000000" w:rsidRPr="00BB2296" w:rsidP="00840440">
      <w:pPr>
        <w:pStyle w:val="BodyText"/>
      </w:pPr>
      <w:r w:rsidRPr="00BB22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47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2296" w:rsidP="00840440">
      <w:pPr>
        <w:pStyle w:val="BodyText"/>
        <w:sectPr w:rsidSect="00BB22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296" w:rsidP="00BB2296">
      <w:pPr>
        <w:pStyle w:val="SuperHeading"/>
      </w:pPr>
      <w:r w:rsidRPr="00BB2296">
        <w:t xml:space="preserve">Assessment </w:t>
      </w:r>
      <w:r w:rsidRPr="00BB2296">
        <w:t>Requirements for CPCCDE4008 Supervise asbestos removal</w:t>
      </w:r>
    </w:p>
    <w:p w:rsidR="00000000" w:rsidRPr="00BB2296" w:rsidP="00BB2296">
      <w:pPr>
        <w:pStyle w:val="Heading1"/>
      </w:pPr>
      <w:bookmarkStart w:id="9" w:name="O_1205141"/>
      <w:bookmarkEnd w:id="9"/>
      <w:r w:rsidRPr="00BB2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>This version first released with CPC Construction, Plumbing and Services Training Package Release 6.5.</w:t>
            </w:r>
          </w:p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Prerequisite unit list updated to read CPCCDE3014</w:t>
            </w:r>
            <w:r w:rsidRPr="00BB2296">
              <w:t xml:space="preserve"> Remove non-friable asbestos and/or CPCCDE3015 Remove friable asbestos.</w:t>
            </w:r>
          </w:p>
        </w:tc>
      </w:tr>
      <w:tr w:rsidTr="00BB2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96">
            <w:pPr>
              <w:pStyle w:val="BodyText"/>
              <w:rPr>
                <w:lang w:val="en-NZ"/>
              </w:rPr>
            </w:pPr>
            <w:r w:rsidRPr="00BB22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96" w:rsidP="00BB2296">
            <w:pPr>
              <w:pStyle w:val="BodyText"/>
            </w:pPr>
            <w:r w:rsidRPr="00BB2296">
              <w:t>This version first released with CPC Construction, Plumbing and Services Training Package Release 5.0.</w:t>
            </w:r>
          </w:p>
          <w:p w:rsidR="00000000" w:rsidRPr="00BB2296" w:rsidP="00BB2296">
            <w:pPr>
              <w:pStyle w:val="BodyText"/>
            </w:pPr>
            <w:r w:rsidRPr="00BB2296">
              <w:t>Supersedes and is equivalent to CPCCBC4051A Supervise asbestos removal</w:t>
            </w:r>
            <w:r w:rsidRPr="00BB2296">
              <w:t>.  Updated to meet the Standards for Training Packages 2012.</w:t>
            </w:r>
          </w:p>
        </w:tc>
      </w:tr>
    </w:tbl>
    <w:p w:rsidR="00000000" w:rsidRPr="00BB2296" w:rsidP="00BB2296">
      <w:pPr>
        <w:pStyle w:val="BodyText"/>
      </w:pP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10" w:name="O_1205140"/>
      <w:bookmarkEnd w:id="10"/>
      <w:r w:rsidRPr="00BB2296">
        <w:t>Performance Evidence</w:t>
      </w:r>
    </w:p>
    <w:p w:rsidR="00000000" w:rsidRPr="00BB2296" w:rsidP="00840440">
      <w:pPr>
        <w:pStyle w:val="BodyText"/>
      </w:pPr>
      <w:r w:rsidRPr="00BB2296">
        <w:t>To demonstrate competency, a candidate must meet the performance criteria of this unit by supervising two different asbestos removal occasions.</w:t>
      </w:r>
    </w:p>
    <w:p w:rsidR="00000000" w:rsidRPr="00BB2296" w:rsidP="00840440">
      <w:pPr>
        <w:pStyle w:val="BodyText"/>
      </w:pPr>
      <w:r w:rsidRPr="00BB2296">
        <w:t xml:space="preserve">In doing </w:t>
      </w:r>
      <w:r w:rsidRPr="00BB2296">
        <w:t>so, the candidate must:</w:t>
      </w:r>
    </w:p>
    <w:p w:rsidR="00000000" w:rsidRPr="00BB2296" w:rsidP="00BB2296">
      <w:pPr>
        <w:pStyle w:val="ListBullet"/>
      </w:pPr>
      <w:r w:rsidRPr="00BB2296">
        <w:t>adhere to the asbestos removal control plan (ARCP), regulatory and environmental legislation.</w:t>
      </w: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11" w:name="O_1205139"/>
      <w:bookmarkEnd w:id="11"/>
      <w:r w:rsidRPr="00BB2296">
        <w:t>Knowledge Evidence</w:t>
      </w:r>
    </w:p>
    <w:p w:rsidR="00000000" w:rsidRPr="00BB2296" w:rsidP="00840440">
      <w:pPr>
        <w:pStyle w:val="BodyText"/>
      </w:pPr>
      <w:r w:rsidRPr="00BB2296">
        <w:t>To be competent in this unit, a candidate must demonstrate knowledge of:</w:t>
      </w:r>
    </w:p>
    <w:p w:rsidR="00000000" w:rsidRPr="00BB2296" w:rsidP="00BB2296">
      <w:pPr>
        <w:pStyle w:val="ListBullet"/>
      </w:pPr>
      <w:r w:rsidRPr="00BB2296">
        <w:t>the compliance requirements of the relevant Australian Standards, Building Code of Australia (BCA), model codes of practice, environmental and work health and safety (WHS) legislation</w:t>
      </w:r>
    </w:p>
    <w:p w:rsidR="00000000" w:rsidRPr="00BB2296" w:rsidP="00BB2296">
      <w:pPr>
        <w:pStyle w:val="ListBullet"/>
      </w:pPr>
      <w:r w:rsidRPr="00BB2296">
        <w:t>relevant government building legislation, codes and standards</w:t>
      </w:r>
    </w:p>
    <w:p w:rsidR="00000000" w:rsidRPr="00BB2296" w:rsidP="00BB2296">
      <w:pPr>
        <w:pStyle w:val="ListBullet"/>
      </w:pPr>
      <w:r w:rsidRPr="00BB2296">
        <w:t xml:space="preserve">rationale </w:t>
      </w:r>
      <w:r w:rsidRPr="00BB2296">
        <w:t>for, and principles underpinning, the ARCP and related legislation</w:t>
      </w:r>
    </w:p>
    <w:p w:rsidR="00000000" w:rsidRPr="00BB2296" w:rsidP="00BB2296">
      <w:pPr>
        <w:pStyle w:val="ListBullet"/>
      </w:pPr>
      <w:r w:rsidRPr="00BB2296">
        <w:t>implementing the ARCP with control monitoring, clearance inspections and certifications</w:t>
      </w:r>
    </w:p>
    <w:p w:rsidR="00000000" w:rsidRPr="00BB2296" w:rsidP="00BB2296">
      <w:pPr>
        <w:pStyle w:val="ListBullet"/>
      </w:pPr>
      <w:r w:rsidRPr="00BB2296">
        <w:t xml:space="preserve">using the certified work health and safety (WHS) management system and emergency plan </w:t>
      </w:r>
    </w:p>
    <w:p w:rsidR="00000000" w:rsidRPr="00BB2296" w:rsidP="00BB2296">
      <w:pPr>
        <w:pStyle w:val="ListBullet"/>
      </w:pPr>
      <w:r w:rsidRPr="00BB2296">
        <w:t>hazards relati</w:t>
      </w:r>
      <w:r w:rsidRPr="00BB2296">
        <w:t xml:space="preserve">ng to friable ACM </w:t>
      </w:r>
    </w:p>
    <w:p w:rsidR="00000000" w:rsidRPr="00BB2296" w:rsidP="00BB2296">
      <w:pPr>
        <w:pStyle w:val="ListBullet"/>
      </w:pPr>
      <w:r w:rsidRPr="00BB2296">
        <w:t>processes, procedures and techniques of asbestos removal</w:t>
      </w:r>
    </w:p>
    <w:p w:rsidR="00000000" w:rsidRPr="00BB2296" w:rsidP="00BB2296">
      <w:pPr>
        <w:pStyle w:val="ListBullet"/>
      </w:pPr>
      <w:r w:rsidRPr="00BB2296">
        <w:t>workplace safety requirement</w:t>
      </w:r>
    </w:p>
    <w:p w:rsidR="00000000" w:rsidRPr="00BB2296" w:rsidP="00BB2296">
      <w:pPr>
        <w:pStyle w:val="ListBullet"/>
      </w:pPr>
      <w:r w:rsidRPr="00BB2296">
        <w:t>plans, drawings and specifications, asbestos registers and documentation relating to asbestos removal</w:t>
      </w:r>
    </w:p>
    <w:p w:rsidR="00000000" w:rsidRPr="00BB2296" w:rsidP="00BB2296">
      <w:pPr>
        <w:pStyle w:val="ListBullet"/>
      </w:pPr>
      <w:r w:rsidRPr="00BB2296">
        <w:t>organisation’s quality assurance requirements</w:t>
      </w:r>
    </w:p>
    <w:p w:rsidR="00000000" w:rsidRPr="00BB2296" w:rsidP="00BB2296">
      <w:pPr>
        <w:pStyle w:val="ListBullet"/>
      </w:pPr>
      <w:r w:rsidRPr="00BB2296">
        <w:t>env</w:t>
      </w:r>
      <w:r w:rsidRPr="00BB2296">
        <w:t>ironmental requirements and sustainability principles</w:t>
      </w:r>
    </w:p>
    <w:p w:rsidR="00000000" w:rsidRPr="00BB2296" w:rsidP="00BB2296">
      <w:pPr>
        <w:pStyle w:val="ListBullet"/>
      </w:pPr>
      <w:r w:rsidRPr="00BB2296">
        <w:t>duties and obligations of the supervisory role</w:t>
      </w:r>
    </w:p>
    <w:p w:rsidR="00000000" w:rsidRPr="00BB2296" w:rsidP="00BB2296">
      <w:pPr>
        <w:pStyle w:val="ListBullet"/>
      </w:pPr>
      <w:r w:rsidRPr="00BB2296">
        <w:t>contingency planning</w:t>
      </w:r>
    </w:p>
    <w:p w:rsidR="00000000" w:rsidRPr="00BB2296" w:rsidP="00BB2296">
      <w:pPr>
        <w:pStyle w:val="ListBullet"/>
      </w:pPr>
      <w:r w:rsidRPr="00BB2296">
        <w:t>locations of friable and non-friable asbestos.</w:t>
      </w: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12" w:name="O_1205138"/>
      <w:bookmarkEnd w:id="12"/>
      <w:r w:rsidRPr="00BB2296">
        <w:t>Assessment Conditions</w:t>
      </w:r>
    </w:p>
    <w:p w:rsidR="00000000" w:rsidRPr="00BB2296" w:rsidP="00840440">
      <w:pPr>
        <w:pStyle w:val="BodyText"/>
      </w:pPr>
      <w:r w:rsidRPr="00BB2296">
        <w:t>Assessors must meet the requirements for asses</w:t>
      </w:r>
      <w:r w:rsidRPr="00BB2296">
        <w:t xml:space="preserve">sors contained in the Standards for Registered Training Organisations. </w:t>
      </w:r>
    </w:p>
    <w:p w:rsidR="00000000" w:rsidRPr="00BB2296" w:rsidP="00840440">
      <w:pPr>
        <w:pStyle w:val="BodyText"/>
      </w:pPr>
      <w:r w:rsidRPr="00BB2296">
        <w:t xml:space="preserve">Assessment of performance must be undertaken in the workplace or simulated workplace environment.  </w:t>
      </w:r>
    </w:p>
    <w:p w:rsidR="00000000" w:rsidRPr="00BB2296" w:rsidP="00840440">
      <w:pPr>
        <w:pStyle w:val="BodyText"/>
      </w:pPr>
      <w:r w:rsidRPr="00BB2296">
        <w:t>Candidates must be provided with:</w:t>
      </w:r>
    </w:p>
    <w:p w:rsidR="00000000" w:rsidRPr="00BB2296" w:rsidP="00BB2296">
      <w:pPr>
        <w:pStyle w:val="ListBullet"/>
      </w:pPr>
      <w:r w:rsidRPr="00BB2296">
        <w:t>access to a worksite or simulated work environment</w:t>
      </w:r>
    </w:p>
    <w:p w:rsidR="00000000" w:rsidRPr="00BB2296" w:rsidP="00BB2296">
      <w:pPr>
        <w:pStyle w:val="ListBullet"/>
      </w:pPr>
      <w:r w:rsidRPr="00BB2296">
        <w:t xml:space="preserve">relevant government building legislation, codes and standards </w:t>
      </w:r>
    </w:p>
    <w:p w:rsidR="00000000" w:rsidRPr="00BB2296" w:rsidP="00BB2296">
      <w:pPr>
        <w:pStyle w:val="ListBullet"/>
      </w:pPr>
      <w:r w:rsidRPr="00BB2296">
        <w:t xml:space="preserve">environmental requirements and sustainability principles </w:t>
      </w:r>
    </w:p>
    <w:p w:rsidR="00000000" w:rsidRPr="00BB2296" w:rsidP="00BB2296">
      <w:pPr>
        <w:pStyle w:val="ListBullet"/>
      </w:pPr>
      <w:r w:rsidRPr="00BB2296">
        <w:t>organisational policies and procedures</w:t>
      </w:r>
    </w:p>
    <w:p w:rsidR="00000000" w:rsidRPr="00BB2296" w:rsidP="00BB2296">
      <w:pPr>
        <w:pStyle w:val="ListBullet"/>
      </w:pPr>
      <w:r w:rsidRPr="00BB2296">
        <w:t>project plans and specifications</w:t>
      </w:r>
    </w:p>
    <w:p w:rsidR="00000000" w:rsidRPr="00BB2296" w:rsidP="00BB2296">
      <w:pPr>
        <w:pStyle w:val="ListBullet"/>
      </w:pPr>
      <w:r w:rsidRPr="00BB2296">
        <w:t xml:space="preserve">appropriate </w:t>
      </w:r>
      <w:r w:rsidRPr="00BB2296">
        <w:t>documents, materials, tools, equipment and personal protective equipment (PPE) currently approved for use in industry, as per codes of practice, Australian Standards, requirements of legislation, regulations and requirements of workplace policies and proce</w:t>
      </w:r>
      <w:r w:rsidRPr="00BB2296">
        <w:t xml:space="preserve">dures as required by Commonwealth, state and territory regulators. </w:t>
      </w:r>
    </w:p>
    <w:p w:rsidR="00000000" w:rsidRPr="00BB2296" w:rsidP="00BB2296">
      <w:pPr>
        <w:pStyle w:val="AllowPageBreak"/>
      </w:pPr>
    </w:p>
    <w:p w:rsidR="00000000" w:rsidRPr="00BB2296" w:rsidP="00BB2296">
      <w:pPr>
        <w:pStyle w:val="Heading1"/>
      </w:pPr>
      <w:bookmarkStart w:id="13" w:name="O_1205151"/>
      <w:bookmarkEnd w:id="13"/>
      <w:r w:rsidRPr="00BB2296">
        <w:t>Links</w:t>
      </w:r>
    </w:p>
    <w:p w:rsidR="00000000" w:rsidRPr="00BB2296" w:rsidP="00840440">
      <w:pPr>
        <w:pStyle w:val="BodyText"/>
      </w:pPr>
      <w:r w:rsidRPr="00BB22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47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2296" w:rsidP="00BB2296"/>
    <w:sectPr w:rsidSect="00BB22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 w:rsidRPr="00840440" w:rsidP="00840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440" w:rsidP="00BB2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0440" w:rsidP="00BB2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0440" w:rsidP="00BB22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 w:rsidP="00BB2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440">
      <w:t>Approved</w:t>
    </w:r>
    <w:r w:rsidR="008404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4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440">
      <w:rPr>
        <w:noProof/>
      </w:rPr>
      <w:t>5</w:t>
    </w:r>
    <w:r>
      <w:rPr>
        <w:noProof/>
      </w:rPr>
      <w:fldChar w:fldCharType="end"/>
    </w:r>
  </w:p>
  <w:p w:rsidR="00BB2296" w:rsidP="00BB2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4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440">
      <w:t>BuildSkills Australia</w:t>
    </w:r>
    <w:r w:rsidR="00840440">
      <w:fldChar w:fldCharType="end"/>
    </w:r>
  </w:p>
  <w:p w:rsidR="00BB2296" w:rsidP="00BB2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296" w:rsidRPr="00840440" w:rsidP="00840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440" w:rsidRPr="002D2AF8" w:rsidP="00BB2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CPCCDE4008 Supervise asbestos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0440" w:rsidP="00BB22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96" w:rsidRPr="002D2AF8" w:rsidP="00BB2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440">
      <w:t>CPCCDE4008 Supervise asbestos removal</w:t>
    </w:r>
    <w:r w:rsidR="008404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440">
      <w:rPr>
        <w:noProof/>
      </w:rPr>
      <w:t>1 March 2025</w:t>
    </w:r>
    <w:r>
      <w:fldChar w:fldCharType="end"/>
    </w:r>
  </w:p>
  <w:p w:rsidR="00BB2296" w:rsidP="00BB2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A2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48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F20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296"/>
  </w:style>
  <w:style w:type="character" w:customStyle="1" w:styleId="Heading1Char">
    <w:name w:val="Heading 1 Char"/>
    <w:basedOn w:val="DefaultParagraphFont"/>
    <w:link w:val="Heading1"/>
    <w:rsid w:val="00BB2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2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296"/>
    <w:rPr>
      <w:b/>
      <w:spacing w:val="0"/>
    </w:rPr>
  </w:style>
  <w:style w:type="paragraph" w:customStyle="1" w:styleId="SuperTitle">
    <w:name w:val="SuperTitle"/>
    <w:basedOn w:val="Title"/>
    <w:rsid w:val="00BB2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296"/>
    <w:rPr>
      <w:i/>
    </w:rPr>
  </w:style>
  <w:style w:type="paragraph" w:styleId="Caption">
    <w:name w:val="caption"/>
    <w:basedOn w:val="BodyText"/>
    <w:next w:val="Normal"/>
    <w:qFormat/>
    <w:rsid w:val="00BB2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296"/>
  </w:style>
  <w:style w:type="paragraph" w:styleId="TableofFigures">
    <w:name w:val="table of figures"/>
    <w:basedOn w:val="Normal"/>
    <w:next w:val="Normal"/>
    <w:semiHidden/>
    <w:rsid w:val="00BB2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296"/>
    <w:rPr>
      <w:rFonts w:ascii="Wingdings" w:hAnsi="Wingdings"/>
    </w:rPr>
  </w:style>
  <w:style w:type="paragraph" w:customStyle="1" w:styleId="TableHeading">
    <w:name w:val="Table Heading"/>
    <w:basedOn w:val="HeadingBase"/>
    <w:rsid w:val="00BB2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296"/>
    <w:rPr>
      <w:color w:val="0033CC"/>
      <w:u w:val="none"/>
    </w:rPr>
  </w:style>
  <w:style w:type="paragraph" w:customStyle="1" w:styleId="BodyTextRight">
    <w:name w:val="Body Text Right"/>
    <w:basedOn w:val="BodyText"/>
    <w:rsid w:val="00BB2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296"/>
    <w:rPr>
      <w:sz w:val="32"/>
    </w:rPr>
  </w:style>
  <w:style w:type="paragraph" w:customStyle="1" w:styleId="HeadingProcedure">
    <w:name w:val="Heading Procedure"/>
    <w:basedOn w:val="HeadingBase"/>
    <w:next w:val="Normal"/>
    <w:rsid w:val="00BB2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296"/>
    <w:pPr>
      <w:spacing w:before="60" w:after="60"/>
    </w:pPr>
  </w:style>
  <w:style w:type="paragraph" w:styleId="ListContinue">
    <w:name w:val="List Continue"/>
    <w:basedOn w:val="List"/>
    <w:rsid w:val="00BB2296"/>
    <w:pPr>
      <w:ind w:firstLine="0"/>
    </w:pPr>
  </w:style>
  <w:style w:type="paragraph" w:customStyle="1" w:styleId="ListNote">
    <w:name w:val="List Note"/>
    <w:basedOn w:val="List"/>
    <w:rsid w:val="00BB2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296"/>
    <w:rPr>
      <w:rFonts w:ascii="Courier New" w:hAnsi="Courier New"/>
    </w:rPr>
  </w:style>
  <w:style w:type="paragraph" w:customStyle="1" w:styleId="NoteBullet">
    <w:name w:val="Note Bullet"/>
    <w:basedOn w:val="Note"/>
    <w:rsid w:val="00BB2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296"/>
    <w:rPr>
      <w:b/>
      <w:smallCaps/>
    </w:rPr>
  </w:style>
  <w:style w:type="paragraph" w:customStyle="1" w:styleId="TableListNumber">
    <w:name w:val="Table List Number"/>
    <w:basedOn w:val="ListNumber"/>
    <w:rsid w:val="00BB2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296"/>
    <w:pPr>
      <w:numPr>
        <w:numId w:val="9"/>
      </w:numPr>
    </w:pPr>
  </w:style>
  <w:style w:type="paragraph" w:customStyle="1" w:styleId="ListAlpha2">
    <w:name w:val="List Alpha 2"/>
    <w:basedOn w:val="List2"/>
    <w:rsid w:val="00BB2296"/>
    <w:pPr>
      <w:numPr>
        <w:numId w:val="8"/>
      </w:numPr>
    </w:pPr>
  </w:style>
  <w:style w:type="paragraph" w:styleId="List2">
    <w:name w:val="List 2"/>
    <w:basedOn w:val="BodyText"/>
    <w:rsid w:val="00BB2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296"/>
    <w:pPr>
      <w:numPr>
        <w:numId w:val="4"/>
      </w:numPr>
    </w:pPr>
  </w:style>
  <w:style w:type="paragraph" w:styleId="ListContinue2">
    <w:name w:val="List Continue 2"/>
    <w:basedOn w:val="List2"/>
    <w:rsid w:val="00BB2296"/>
    <w:pPr>
      <w:ind w:firstLine="0"/>
    </w:pPr>
  </w:style>
  <w:style w:type="paragraph" w:styleId="ListContinue3">
    <w:name w:val="List Continue 3"/>
    <w:basedOn w:val="List3"/>
    <w:rsid w:val="00BB2296"/>
    <w:pPr>
      <w:ind w:left="1021" w:firstLine="0"/>
    </w:pPr>
  </w:style>
  <w:style w:type="paragraph" w:styleId="ListContinue4">
    <w:name w:val="List Continue 4"/>
    <w:basedOn w:val="List4"/>
    <w:rsid w:val="00BB2296"/>
    <w:pPr>
      <w:ind w:firstLine="0"/>
    </w:pPr>
  </w:style>
  <w:style w:type="paragraph" w:styleId="ListContinue5">
    <w:name w:val="List Continue 5"/>
    <w:basedOn w:val="List5"/>
    <w:rsid w:val="00BB2296"/>
    <w:pPr>
      <w:ind w:firstLine="0"/>
    </w:pPr>
  </w:style>
  <w:style w:type="paragraph" w:styleId="ListNumber3">
    <w:name w:val="List Number 3"/>
    <w:basedOn w:val="List3"/>
    <w:rsid w:val="00BB2296"/>
    <w:pPr>
      <w:numPr>
        <w:numId w:val="5"/>
      </w:numPr>
    </w:pPr>
  </w:style>
  <w:style w:type="paragraph" w:styleId="ListNumber4">
    <w:name w:val="List Number 4"/>
    <w:basedOn w:val="List4"/>
    <w:rsid w:val="00BB2296"/>
    <w:pPr>
      <w:numPr>
        <w:numId w:val="6"/>
      </w:numPr>
    </w:pPr>
  </w:style>
  <w:style w:type="paragraph" w:styleId="ListNumber5">
    <w:name w:val="List Number 5"/>
    <w:basedOn w:val="List5"/>
    <w:rsid w:val="00BB2296"/>
    <w:pPr>
      <w:numPr>
        <w:numId w:val="7"/>
      </w:numPr>
    </w:pPr>
  </w:style>
  <w:style w:type="paragraph" w:styleId="BlockText">
    <w:name w:val="Block Text"/>
    <w:basedOn w:val="Normal"/>
    <w:rsid w:val="00BB2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296"/>
    <w:rPr>
      <w:sz w:val="16"/>
      <w:vertAlign w:val="superscript"/>
    </w:rPr>
  </w:style>
  <w:style w:type="character" w:customStyle="1" w:styleId="Symbols">
    <w:name w:val="Symbols"/>
    <w:basedOn w:val="DefaultParagraphFont"/>
    <w:rsid w:val="00BB2296"/>
    <w:rPr>
      <w:rFonts w:ascii="Symbol" w:hAnsi="Symbol"/>
    </w:rPr>
  </w:style>
  <w:style w:type="character" w:customStyle="1" w:styleId="MenuOptions">
    <w:name w:val="Menu Options"/>
    <w:basedOn w:val="DefaultParagraphFont"/>
    <w:rsid w:val="00BB2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296"/>
    <w:rPr>
      <w:b/>
    </w:rPr>
  </w:style>
  <w:style w:type="character" w:customStyle="1" w:styleId="Underlined">
    <w:name w:val="Underlined"/>
    <w:basedOn w:val="DefaultParagraphFont"/>
    <w:rsid w:val="00BB2296"/>
    <w:rPr>
      <w:u w:val="single"/>
    </w:rPr>
  </w:style>
  <w:style w:type="paragraph" w:customStyle="1" w:styleId="TableBodyTextRight">
    <w:name w:val="Table Body Text Right"/>
    <w:basedOn w:val="TableBodyText"/>
    <w:rsid w:val="00BB2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296"/>
    <w:rPr>
      <w:sz w:val="18"/>
    </w:rPr>
  </w:style>
  <w:style w:type="paragraph" w:customStyle="1" w:styleId="BodySmallRight">
    <w:name w:val="Body Small Right"/>
    <w:basedOn w:val="BodyTextRight"/>
    <w:rsid w:val="00BB2296"/>
    <w:rPr>
      <w:sz w:val="18"/>
      <w:szCs w:val="18"/>
    </w:rPr>
  </w:style>
  <w:style w:type="paragraph" w:customStyle="1" w:styleId="MarginEdition">
    <w:name w:val="Margin Edition"/>
    <w:basedOn w:val="MarginNote"/>
    <w:rsid w:val="00BB2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296"/>
    <w:rPr>
      <w:sz w:val="2"/>
      <w:szCs w:val="2"/>
    </w:rPr>
  </w:style>
  <w:style w:type="character" w:customStyle="1" w:styleId="Small">
    <w:name w:val="Small"/>
    <w:basedOn w:val="DefaultParagraphFont"/>
    <w:rsid w:val="00BB2296"/>
    <w:rPr>
      <w:sz w:val="16"/>
    </w:rPr>
  </w:style>
  <w:style w:type="paragraph" w:customStyle="1" w:styleId="WideTable">
    <w:name w:val="Wide Table"/>
    <w:basedOn w:val="Normal"/>
    <w:rsid w:val="00BB2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296"/>
  </w:style>
  <w:style w:type="paragraph" w:styleId="Quote">
    <w:name w:val="Quote"/>
    <w:basedOn w:val="Heading1"/>
    <w:link w:val="QuoteChar"/>
    <w:qFormat/>
    <w:rsid w:val="00BB2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296"/>
    <w:pPr>
      <w:pageBreakBefore/>
    </w:pPr>
  </w:style>
  <w:style w:type="paragraph" w:customStyle="1" w:styleId="Border">
    <w:name w:val="Border"/>
    <w:basedOn w:val="Normal"/>
    <w:qFormat/>
    <w:rsid w:val="00BB2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296"/>
    <w:rPr>
      <w:u w:val="single"/>
    </w:rPr>
  </w:style>
  <w:style w:type="character" w:customStyle="1" w:styleId="BoldandItalics">
    <w:name w:val="Bold and Italics"/>
    <w:qFormat/>
    <w:rsid w:val="00BB2296"/>
    <w:rPr>
      <w:b/>
      <w:i/>
      <w:u w:val="none"/>
    </w:rPr>
  </w:style>
  <w:style w:type="paragraph" w:styleId="BalloonText">
    <w:name w:val="Balloon Text"/>
    <w:basedOn w:val="Normal"/>
    <w:link w:val="BalloonTextChar"/>
    <w:rsid w:val="00BB2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296"/>
    <w:pPr>
      <w:spacing w:before="0" w:after="0"/>
    </w:pPr>
  </w:style>
  <w:style w:type="paragraph" w:customStyle="1" w:styleId="BodyTextBold">
    <w:name w:val="Body Text Bold"/>
    <w:basedOn w:val="BodyText"/>
    <w:qFormat/>
    <w:rsid w:val="00BB2296"/>
    <w:rPr>
      <w:b/>
    </w:rPr>
  </w:style>
  <w:style w:type="character" w:styleId="Hyperlink">
    <w:name w:val="Hyperlink"/>
    <w:basedOn w:val="DefaultParagraphFont"/>
    <w:uiPriority w:val="99"/>
    <w:unhideWhenUsed/>
    <w:rsid w:val="00840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8331</Characters>
  <Application>Microsoft Office Word</Application>
  <DocSecurity>0</DocSecurity>
  <Lines>320</Lines>
  <Paragraphs>168</Paragraphs>
  <ScaleCrop>false</ScaleCrop>
  <Company>Author-it Software Corporation Ltd.</Company>
  <LinksUpToDate>false</LinksUpToDate>
  <CharactersWithSpaces>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CPCCDE4008 Supervise asbestos removal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