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BB8" w:rsidP="00B35B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CPCCDE4007 Manage waste streams</w:t>
      </w:r>
      <w:r>
        <w:fldChar w:fldCharType="end"/>
      </w:r>
    </w:p>
    <w:p w:rsidR="00B35BB8" w:rsidP="00B35BB8">
      <w:pPr>
        <w:pStyle w:val="Version"/>
        <w:sectPr w:rsidSect="00616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66A2" w:rsidP="006166A2">
      <w:pPr>
        <w:pStyle w:val="SuperHeading"/>
      </w:pPr>
      <w:r w:rsidRPr="006166A2">
        <w:t>Assessment Requirements for CPCCDE4007 Manage waste streams</w:t>
      </w:r>
    </w:p>
    <w:p w:rsidR="00000000" w:rsidRPr="006166A2" w:rsidP="006166A2">
      <w:pPr>
        <w:pStyle w:val="Heading1"/>
      </w:pPr>
      <w:bookmarkStart w:id="1" w:name="O_1294489"/>
      <w:bookmarkEnd w:id="1"/>
      <w:r w:rsidRPr="006166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6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A2">
            <w:pPr>
              <w:pStyle w:val="BodyText"/>
              <w:rPr>
                <w:lang w:val="en-NZ"/>
              </w:rPr>
            </w:pPr>
            <w:r w:rsidRPr="006166A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A2">
            <w:pPr>
              <w:pStyle w:val="BodyText"/>
              <w:rPr>
                <w:lang w:val="en-NZ"/>
              </w:rPr>
            </w:pPr>
            <w:r w:rsidRPr="006166A2">
              <w:t>Updated reference to general construction induction training program.</w:t>
            </w:r>
          </w:p>
        </w:tc>
      </w:tr>
      <w:tr w:rsidTr="00616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6A2">
            <w:pPr>
              <w:pStyle w:val="BodyText"/>
              <w:rPr>
                <w:lang w:val="en-NZ"/>
              </w:rPr>
            </w:pPr>
            <w:r w:rsidRPr="006166A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6A2" w:rsidP="006166A2">
            <w:pPr>
              <w:pStyle w:val="BodyText"/>
            </w:pPr>
            <w:r w:rsidRPr="006166A2">
              <w:t>This version first released with CPC Construction, Plumbing and Services Training Package Release 5.0.</w:t>
            </w:r>
          </w:p>
          <w:p w:rsidR="00000000" w:rsidRPr="006166A2" w:rsidP="006166A2">
            <w:pPr>
              <w:pStyle w:val="BodyText"/>
            </w:pPr>
            <w:r w:rsidRPr="006166A2">
              <w:t>New unit.</w:t>
            </w:r>
          </w:p>
        </w:tc>
      </w:tr>
    </w:tbl>
    <w:p w:rsidR="00000000" w:rsidRPr="006166A2" w:rsidP="006166A2">
      <w:pPr>
        <w:pStyle w:val="BodyText"/>
      </w:pPr>
    </w:p>
    <w:p w:rsidR="00000000" w:rsidRPr="006166A2" w:rsidP="006166A2">
      <w:pPr>
        <w:pStyle w:val="AllowPageBreak"/>
      </w:pPr>
    </w:p>
    <w:p w:rsidR="00000000" w:rsidRPr="006166A2" w:rsidP="006166A2">
      <w:pPr>
        <w:pStyle w:val="Heading1"/>
      </w:pPr>
      <w:bookmarkStart w:id="2" w:name="O_1294488"/>
      <w:bookmarkEnd w:id="2"/>
      <w:r w:rsidRPr="006166A2">
        <w:t>Performance Evidence</w:t>
      </w:r>
    </w:p>
    <w:p w:rsidR="00000000" w:rsidRPr="006166A2" w:rsidP="00B35BB8">
      <w:pPr>
        <w:pStyle w:val="BodyText"/>
      </w:pPr>
      <w:r w:rsidRPr="006166A2">
        <w:t>To demonstrate competency in this unit, a candidate must identify the different waste streams for a demolition project and supervise the segregation and disposal of the different waste streams. The candidate must provide eviden</w:t>
      </w:r>
      <w:r w:rsidRPr="006166A2">
        <w:t>ce of:</w:t>
      </w:r>
    </w:p>
    <w:p w:rsidR="00000000" w:rsidRPr="006166A2" w:rsidP="006166A2">
      <w:pPr>
        <w:pStyle w:val="ListBullet"/>
      </w:pPr>
      <w:r w:rsidRPr="006166A2">
        <w:t>the initial audit/identification process</w:t>
      </w:r>
    </w:p>
    <w:p w:rsidR="00000000" w:rsidRPr="006166A2" w:rsidP="006166A2">
      <w:pPr>
        <w:pStyle w:val="ListBullet"/>
      </w:pPr>
      <w:r w:rsidRPr="006166A2">
        <w:t>the waste management tracking system, including the identified end use location of each waste stream.</w:t>
      </w:r>
    </w:p>
    <w:p w:rsidR="00000000" w:rsidRPr="006166A2" w:rsidP="006166A2">
      <w:pPr>
        <w:pStyle w:val="AllowPageBreak"/>
      </w:pPr>
    </w:p>
    <w:p w:rsidR="00000000" w:rsidRPr="006166A2" w:rsidP="006166A2">
      <w:pPr>
        <w:pStyle w:val="Heading1"/>
      </w:pPr>
      <w:bookmarkStart w:id="3" w:name="O_1294487"/>
      <w:bookmarkEnd w:id="3"/>
      <w:r w:rsidRPr="006166A2">
        <w:t>Knowledge Evidence</w:t>
      </w:r>
    </w:p>
    <w:p w:rsidR="00000000" w:rsidRPr="006166A2" w:rsidP="00B35BB8">
      <w:pPr>
        <w:pStyle w:val="BodyText"/>
      </w:pPr>
      <w:r w:rsidRPr="006166A2">
        <w:t>To be competent in this unit, a candidate must demonstrate knowledge of:</w:t>
      </w:r>
    </w:p>
    <w:p w:rsidR="00000000" w:rsidRPr="006166A2" w:rsidP="006166A2">
      <w:pPr>
        <w:pStyle w:val="ListBullet"/>
      </w:pPr>
      <w:r w:rsidRPr="006166A2">
        <w:t>the compliance requirements of the relevant Australian Standards, Building Code of Australia (BCA), model codes of practice, environmental and work health and safety (WHS) legislatio</w:t>
      </w:r>
      <w:r w:rsidRPr="006166A2">
        <w:t>n</w:t>
      </w:r>
    </w:p>
    <w:p w:rsidR="00000000" w:rsidRPr="006166A2" w:rsidP="006166A2">
      <w:pPr>
        <w:pStyle w:val="ListBullet"/>
      </w:pPr>
      <w:r w:rsidRPr="006166A2">
        <w:t>Australian and New Zealand Government Framework for Sustainable Procurement</w:t>
      </w:r>
    </w:p>
    <w:p w:rsidR="00000000" w:rsidRPr="006166A2" w:rsidP="006166A2">
      <w:pPr>
        <w:pStyle w:val="ListBullet"/>
      </w:pPr>
      <w:r w:rsidRPr="006166A2">
        <w:t>demolition methods:</w:t>
      </w:r>
    </w:p>
    <w:p w:rsidR="00000000" w:rsidRPr="006166A2" w:rsidP="006166A2">
      <w:pPr>
        <w:pStyle w:val="ListBullet2"/>
      </w:pPr>
      <w:r w:rsidRPr="006166A2">
        <w:t>impacts on recovery methods</w:t>
      </w:r>
    </w:p>
    <w:p w:rsidR="00000000" w:rsidRPr="006166A2" w:rsidP="006166A2">
      <w:pPr>
        <w:pStyle w:val="ListBullet2"/>
      </w:pPr>
      <w:r w:rsidRPr="006166A2">
        <w:t>impacts on recovery costs</w:t>
      </w:r>
    </w:p>
    <w:p w:rsidR="00000000" w:rsidRPr="006166A2" w:rsidP="006166A2">
      <w:pPr>
        <w:pStyle w:val="ListBullet2"/>
      </w:pPr>
      <w:r w:rsidRPr="006166A2">
        <w:t>types</w:t>
      </w:r>
    </w:p>
    <w:p w:rsidR="00000000" w:rsidRPr="006166A2" w:rsidP="006166A2">
      <w:pPr>
        <w:pStyle w:val="ListBullet"/>
      </w:pPr>
      <w:r w:rsidRPr="006166A2">
        <w:t>workplace hazards:</w:t>
      </w:r>
    </w:p>
    <w:p w:rsidR="00000000" w:rsidRPr="006166A2" w:rsidP="006166A2">
      <w:pPr>
        <w:pStyle w:val="ListBullet2"/>
      </w:pPr>
      <w:r w:rsidRPr="006166A2">
        <w:t>asbestos</w:t>
      </w:r>
    </w:p>
    <w:p w:rsidR="00000000" w:rsidRPr="006166A2" w:rsidP="006166A2">
      <w:pPr>
        <w:pStyle w:val="ListBullet2"/>
      </w:pPr>
      <w:r w:rsidRPr="006166A2">
        <w:t xml:space="preserve">chemicals </w:t>
      </w:r>
    </w:p>
    <w:p w:rsidR="00000000" w:rsidRPr="006166A2" w:rsidP="006166A2">
      <w:pPr>
        <w:pStyle w:val="ListBullet2"/>
      </w:pPr>
      <w:r w:rsidRPr="006166A2">
        <w:t>fuel</w:t>
      </w:r>
    </w:p>
    <w:p w:rsidR="00000000" w:rsidRPr="006166A2" w:rsidP="006166A2">
      <w:pPr>
        <w:pStyle w:val="ListBullet2"/>
      </w:pPr>
      <w:r w:rsidRPr="006166A2">
        <w:t>falling objects</w:t>
      </w:r>
    </w:p>
    <w:p w:rsidR="00000000" w:rsidRPr="006166A2" w:rsidP="006166A2">
      <w:pPr>
        <w:pStyle w:val="ListBullet2"/>
      </w:pPr>
      <w:r w:rsidRPr="006166A2">
        <w:t>flying debris</w:t>
      </w:r>
    </w:p>
    <w:p w:rsidR="00000000" w:rsidRPr="006166A2" w:rsidP="006166A2">
      <w:pPr>
        <w:pStyle w:val="ListBullet2"/>
      </w:pPr>
      <w:r w:rsidRPr="006166A2">
        <w:t>structural composition hazards</w:t>
      </w:r>
    </w:p>
    <w:p w:rsidR="00000000" w:rsidRPr="006166A2" w:rsidP="006166A2">
      <w:pPr>
        <w:pStyle w:val="ListBullet2"/>
      </w:pPr>
      <w:r w:rsidRPr="006166A2">
        <w:t>services hazards</w:t>
      </w:r>
    </w:p>
    <w:p w:rsidR="00000000" w:rsidRPr="006166A2" w:rsidP="006166A2">
      <w:pPr>
        <w:pStyle w:val="ListBullet2"/>
      </w:pPr>
      <w:r w:rsidRPr="006166A2">
        <w:t>fire or explosion risk</w:t>
      </w:r>
    </w:p>
    <w:p w:rsidR="00000000" w:rsidRPr="006166A2" w:rsidP="006166A2">
      <w:pPr>
        <w:pStyle w:val="ListBullet2"/>
      </w:pPr>
      <w:r w:rsidRPr="006166A2">
        <w:t xml:space="preserve">traffic </w:t>
      </w:r>
    </w:p>
    <w:p w:rsidR="00000000" w:rsidRPr="006166A2" w:rsidP="006166A2">
      <w:pPr>
        <w:pStyle w:val="ListBullet"/>
      </w:pPr>
      <w:r w:rsidRPr="006166A2">
        <w:t>materials for recovery:</w:t>
      </w:r>
    </w:p>
    <w:p w:rsidR="00000000" w:rsidRPr="006166A2" w:rsidP="006166A2">
      <w:pPr>
        <w:pStyle w:val="ListBullet2"/>
      </w:pPr>
      <w:r w:rsidRPr="006166A2">
        <w:t>clay</w:t>
      </w:r>
    </w:p>
    <w:p w:rsidR="00000000" w:rsidRPr="006166A2" w:rsidP="006166A2">
      <w:pPr>
        <w:pStyle w:val="ListBullet2"/>
      </w:pPr>
      <w:r w:rsidRPr="006166A2">
        <w:t>ferrous metals</w:t>
      </w:r>
    </w:p>
    <w:p w:rsidR="00000000" w:rsidRPr="006166A2" w:rsidP="006166A2">
      <w:pPr>
        <w:pStyle w:val="ListBullet2"/>
      </w:pPr>
      <w:r w:rsidRPr="006166A2">
        <w:t>glass</w:t>
      </w:r>
    </w:p>
    <w:p w:rsidR="00000000" w:rsidRPr="006166A2" w:rsidP="006166A2">
      <w:pPr>
        <w:pStyle w:val="ListBullet2"/>
      </w:pPr>
      <w:r w:rsidRPr="006166A2">
        <w:t>masonry:</w:t>
      </w:r>
    </w:p>
    <w:p w:rsidR="00000000" w:rsidRPr="006166A2" w:rsidP="006166A2">
      <w:pPr>
        <w:pStyle w:val="ListBullet3"/>
      </w:pPr>
      <w:r w:rsidRPr="006166A2">
        <w:t>bricks</w:t>
      </w:r>
    </w:p>
    <w:p w:rsidR="00000000" w:rsidRPr="006166A2" w:rsidP="006166A2">
      <w:pPr>
        <w:pStyle w:val="ListBullet3"/>
      </w:pPr>
      <w:r w:rsidRPr="006166A2">
        <w:t>concrete</w:t>
      </w:r>
    </w:p>
    <w:p w:rsidR="00000000" w:rsidRPr="006166A2" w:rsidP="006166A2">
      <w:pPr>
        <w:pStyle w:val="ListBullet2"/>
      </w:pPr>
      <w:r w:rsidRPr="006166A2">
        <w:t>natural aggregate</w:t>
      </w:r>
    </w:p>
    <w:p w:rsidR="00000000" w:rsidRPr="006166A2" w:rsidP="006166A2">
      <w:pPr>
        <w:pStyle w:val="ListBullet2"/>
      </w:pPr>
      <w:r w:rsidRPr="006166A2">
        <w:t>non-ferrous metals</w:t>
      </w:r>
    </w:p>
    <w:p w:rsidR="00000000" w:rsidRPr="006166A2" w:rsidP="006166A2">
      <w:pPr>
        <w:pStyle w:val="ListBullet2"/>
      </w:pPr>
      <w:r w:rsidRPr="006166A2">
        <w:t>paper and cardboard</w:t>
      </w:r>
    </w:p>
    <w:p w:rsidR="00000000" w:rsidRPr="006166A2" w:rsidP="006166A2">
      <w:pPr>
        <w:pStyle w:val="ListBullet2"/>
      </w:pPr>
      <w:r w:rsidRPr="006166A2">
        <w:t>plasterboard</w:t>
      </w:r>
    </w:p>
    <w:p w:rsidR="00000000" w:rsidRPr="006166A2" w:rsidP="006166A2">
      <w:pPr>
        <w:pStyle w:val="ListBullet2"/>
      </w:pPr>
      <w:r w:rsidRPr="006166A2">
        <w:t>plastic</w:t>
      </w:r>
    </w:p>
    <w:p w:rsidR="00000000" w:rsidRPr="006166A2" w:rsidP="006166A2">
      <w:pPr>
        <w:pStyle w:val="ListBullet2"/>
      </w:pPr>
      <w:r w:rsidRPr="006166A2">
        <w:t>steel</w:t>
      </w:r>
    </w:p>
    <w:p w:rsidR="00000000" w:rsidRPr="006166A2" w:rsidP="006166A2">
      <w:pPr>
        <w:pStyle w:val="ListBullet2"/>
      </w:pPr>
      <w:r w:rsidRPr="006166A2">
        <w:t>textiles</w:t>
      </w:r>
    </w:p>
    <w:p w:rsidR="00000000" w:rsidRPr="006166A2" w:rsidP="006166A2">
      <w:pPr>
        <w:pStyle w:val="ListBullet2"/>
      </w:pPr>
      <w:r w:rsidRPr="006166A2">
        <w:t>timber</w:t>
      </w:r>
    </w:p>
    <w:p w:rsidR="00000000" w:rsidRPr="006166A2" w:rsidP="006166A2">
      <w:pPr>
        <w:pStyle w:val="ListBullet"/>
      </w:pPr>
      <w:r w:rsidRPr="006166A2">
        <w:t>salvage:</w:t>
      </w:r>
    </w:p>
    <w:p w:rsidR="00000000" w:rsidRPr="006166A2" w:rsidP="006166A2">
      <w:pPr>
        <w:pStyle w:val="ListBullet2"/>
      </w:pPr>
      <w:r w:rsidRPr="006166A2">
        <w:t>process</w:t>
      </w:r>
    </w:p>
    <w:p w:rsidR="00000000" w:rsidRPr="006166A2" w:rsidP="006166A2">
      <w:pPr>
        <w:pStyle w:val="ListBullet2"/>
      </w:pPr>
      <w:r w:rsidRPr="006166A2">
        <w:t>effect on project timelines</w:t>
      </w:r>
    </w:p>
    <w:p w:rsidR="00000000" w:rsidRPr="006166A2" w:rsidP="006166A2">
      <w:pPr>
        <w:pStyle w:val="ListBullet"/>
      </w:pPr>
      <w:r w:rsidRPr="006166A2">
        <w:t>requirements under relevant state or territory legislation</w:t>
      </w:r>
    </w:p>
    <w:p w:rsidR="00000000" w:rsidRPr="006166A2" w:rsidP="006166A2">
      <w:pPr>
        <w:pStyle w:val="ListBullet"/>
      </w:pPr>
      <w:r w:rsidRPr="006166A2">
        <w:t>types of loads:</w:t>
      </w:r>
    </w:p>
    <w:p w:rsidR="00000000" w:rsidRPr="006166A2" w:rsidP="006166A2">
      <w:pPr>
        <w:pStyle w:val="ListBullet2"/>
      </w:pPr>
      <w:r w:rsidRPr="006166A2">
        <w:t>mixed loads</w:t>
      </w:r>
    </w:p>
    <w:p w:rsidR="00000000" w:rsidRPr="006166A2" w:rsidP="006166A2">
      <w:pPr>
        <w:pStyle w:val="ListBullet2"/>
      </w:pPr>
      <w:r w:rsidRPr="006166A2">
        <w:t>source separated.</w:t>
      </w:r>
    </w:p>
    <w:p w:rsidR="00000000" w:rsidRPr="006166A2" w:rsidP="006166A2">
      <w:pPr>
        <w:pStyle w:val="AllowPageBreak"/>
      </w:pPr>
    </w:p>
    <w:p w:rsidR="00000000" w:rsidRPr="006166A2" w:rsidP="006166A2">
      <w:pPr>
        <w:pStyle w:val="Heading1"/>
      </w:pPr>
      <w:bookmarkStart w:id="4" w:name="O_1294486"/>
      <w:bookmarkEnd w:id="4"/>
      <w:r w:rsidRPr="006166A2">
        <w:t>Assessment Conditions</w:t>
      </w:r>
    </w:p>
    <w:p w:rsidR="00000000" w:rsidRPr="006166A2" w:rsidP="00B35BB8">
      <w:pPr>
        <w:pStyle w:val="BodyText"/>
      </w:pPr>
      <w:r w:rsidRPr="006166A2">
        <w:t xml:space="preserve">Assessors must meet the requirements for assessors contained in the Standards for Registered Training Organisations. </w:t>
      </w:r>
    </w:p>
    <w:p w:rsidR="00000000" w:rsidRPr="006166A2" w:rsidP="00B35BB8">
      <w:pPr>
        <w:pStyle w:val="BodyText"/>
      </w:pPr>
      <w:r w:rsidRPr="006166A2">
        <w:t>Assessment of performance must be undertaken in the workplace or in a simulated workplace environment.</w:t>
      </w:r>
    </w:p>
    <w:p w:rsidR="00000000" w:rsidRPr="006166A2" w:rsidP="00B35BB8">
      <w:pPr>
        <w:pStyle w:val="BodyText"/>
      </w:pPr>
      <w:r w:rsidRPr="006166A2">
        <w:t>Assessors are responsible for ensur</w:t>
      </w:r>
      <w:r w:rsidRPr="006166A2">
        <w:t>ing that the candidate demonstrating competency has access to:</w:t>
      </w:r>
    </w:p>
    <w:p w:rsidR="00000000" w:rsidRPr="006166A2" w:rsidP="006166A2">
      <w:pPr>
        <w:pStyle w:val="ListBullet"/>
      </w:pPr>
      <w:r w:rsidRPr="006166A2">
        <w:t xml:space="preserve">worksite/s specifications </w:t>
      </w:r>
    </w:p>
    <w:p w:rsidR="00000000" w:rsidRPr="006166A2" w:rsidP="006166A2">
      <w:pPr>
        <w:pStyle w:val="ListBullet"/>
      </w:pPr>
      <w:r w:rsidRPr="006166A2">
        <w:t>appropriate documents, materials, tools, equipment and personal protective equipment (PPE) currently used in industry</w:t>
      </w:r>
    </w:p>
    <w:p w:rsidR="00000000" w:rsidRPr="006166A2" w:rsidP="006166A2">
      <w:pPr>
        <w:pStyle w:val="ListBullet"/>
      </w:pPr>
      <w:r w:rsidRPr="006166A2">
        <w:t>requirements of workplace policies, procedures and demolition plans.</w:t>
      </w:r>
    </w:p>
    <w:p w:rsidR="00000000" w:rsidRPr="006166A2" w:rsidP="006166A2">
      <w:pPr>
        <w:pStyle w:val="AllowPageBreak"/>
      </w:pPr>
    </w:p>
    <w:p w:rsidR="00000000" w:rsidRPr="006166A2" w:rsidP="006166A2">
      <w:pPr>
        <w:pStyle w:val="Heading1"/>
      </w:pPr>
      <w:bookmarkStart w:id="5" w:name="O_1294499"/>
      <w:bookmarkEnd w:id="5"/>
      <w:r w:rsidRPr="006166A2">
        <w:t>Links</w:t>
      </w:r>
    </w:p>
    <w:p w:rsidR="00000000" w:rsidRPr="006166A2" w:rsidP="00B35BB8">
      <w:pPr>
        <w:pStyle w:val="BodyText"/>
      </w:pPr>
      <w:r w:rsidRPr="006166A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0F3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166A2" w:rsidP="006166A2"/>
    <w:sectPr w:rsidSect="00616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A2" w:rsidRPr="00B35BB8" w:rsidP="00B35B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B8" w:rsidP="00616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BB8" w:rsidP="00616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35BB8" w:rsidP="00616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6A2" w:rsidRPr="00B35BB8" w:rsidP="00B35B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B8" w:rsidRPr="002D2AF8" w:rsidP="00616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CPCCDE4007 Manage waste streams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35BB8" w:rsidP="00616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28C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F0C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D8E9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6A2"/>
  </w:style>
  <w:style w:type="character" w:customStyle="1" w:styleId="Heading1Char">
    <w:name w:val="Heading 1 Char"/>
    <w:basedOn w:val="DefaultParagraphFont"/>
    <w:link w:val="Heading1"/>
    <w:rsid w:val="00616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6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66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6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66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16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6A2"/>
    <w:rPr>
      <w:b/>
      <w:spacing w:val="0"/>
    </w:rPr>
  </w:style>
  <w:style w:type="paragraph" w:customStyle="1" w:styleId="SuperTitle">
    <w:name w:val="SuperTitle"/>
    <w:basedOn w:val="Title"/>
    <w:rsid w:val="00616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66A2"/>
    <w:rPr>
      <w:i/>
    </w:rPr>
  </w:style>
  <w:style w:type="paragraph" w:styleId="Caption">
    <w:name w:val="caption"/>
    <w:basedOn w:val="BodyText"/>
    <w:next w:val="Normal"/>
    <w:qFormat/>
    <w:rsid w:val="00616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6A2"/>
  </w:style>
  <w:style w:type="paragraph" w:styleId="TableofFigures">
    <w:name w:val="table of figures"/>
    <w:basedOn w:val="Normal"/>
    <w:next w:val="Normal"/>
    <w:semiHidden/>
    <w:rsid w:val="00616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6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166A2"/>
    <w:rPr>
      <w:rFonts w:ascii="Wingdings" w:hAnsi="Wingdings"/>
    </w:rPr>
  </w:style>
  <w:style w:type="paragraph" w:customStyle="1" w:styleId="TableHeading">
    <w:name w:val="Table Heading"/>
    <w:basedOn w:val="HeadingBase"/>
    <w:rsid w:val="00616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6A2"/>
    <w:rPr>
      <w:color w:val="0033CC"/>
      <w:u w:val="none"/>
    </w:rPr>
  </w:style>
  <w:style w:type="paragraph" w:customStyle="1" w:styleId="BodyTextRight">
    <w:name w:val="Body Text Right"/>
    <w:basedOn w:val="BodyText"/>
    <w:rsid w:val="00616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6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6A2"/>
    <w:rPr>
      <w:sz w:val="32"/>
    </w:rPr>
  </w:style>
  <w:style w:type="paragraph" w:customStyle="1" w:styleId="HeadingProcedure">
    <w:name w:val="Heading Procedure"/>
    <w:basedOn w:val="HeadingBase"/>
    <w:next w:val="Normal"/>
    <w:rsid w:val="00616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6A2"/>
    <w:pPr>
      <w:spacing w:before="60" w:after="60"/>
    </w:pPr>
  </w:style>
  <w:style w:type="paragraph" w:styleId="ListContinue">
    <w:name w:val="List Continue"/>
    <w:basedOn w:val="List"/>
    <w:rsid w:val="006166A2"/>
    <w:pPr>
      <w:ind w:firstLine="0"/>
    </w:pPr>
  </w:style>
  <w:style w:type="paragraph" w:customStyle="1" w:styleId="ListNote">
    <w:name w:val="List Note"/>
    <w:basedOn w:val="List"/>
    <w:rsid w:val="00616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6A2"/>
    <w:rPr>
      <w:rFonts w:ascii="Courier New" w:hAnsi="Courier New"/>
    </w:rPr>
  </w:style>
  <w:style w:type="paragraph" w:customStyle="1" w:styleId="NoteBullet">
    <w:name w:val="Note Bullet"/>
    <w:basedOn w:val="Note"/>
    <w:rsid w:val="00616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6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6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6A2"/>
    <w:rPr>
      <w:b/>
      <w:smallCaps/>
    </w:rPr>
  </w:style>
  <w:style w:type="paragraph" w:customStyle="1" w:styleId="TableListNumber">
    <w:name w:val="Table List Number"/>
    <w:basedOn w:val="ListNumber"/>
    <w:rsid w:val="00616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6A2"/>
    <w:pPr>
      <w:numPr>
        <w:numId w:val="10"/>
      </w:numPr>
    </w:pPr>
  </w:style>
  <w:style w:type="paragraph" w:customStyle="1" w:styleId="ListAlpha2">
    <w:name w:val="List Alpha 2"/>
    <w:basedOn w:val="List2"/>
    <w:rsid w:val="006166A2"/>
    <w:pPr>
      <w:numPr>
        <w:numId w:val="9"/>
      </w:numPr>
    </w:pPr>
  </w:style>
  <w:style w:type="paragraph" w:styleId="List2">
    <w:name w:val="List 2"/>
    <w:basedOn w:val="BodyText"/>
    <w:rsid w:val="00616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6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66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166A2"/>
    <w:pPr>
      <w:numPr>
        <w:numId w:val="5"/>
      </w:numPr>
    </w:pPr>
  </w:style>
  <w:style w:type="paragraph" w:styleId="ListContinue2">
    <w:name w:val="List Continue 2"/>
    <w:basedOn w:val="List2"/>
    <w:rsid w:val="006166A2"/>
    <w:pPr>
      <w:ind w:firstLine="0"/>
    </w:pPr>
  </w:style>
  <w:style w:type="paragraph" w:styleId="ListContinue3">
    <w:name w:val="List Continue 3"/>
    <w:basedOn w:val="List3"/>
    <w:rsid w:val="006166A2"/>
    <w:pPr>
      <w:ind w:left="1021" w:firstLine="0"/>
    </w:pPr>
  </w:style>
  <w:style w:type="paragraph" w:styleId="ListContinue4">
    <w:name w:val="List Continue 4"/>
    <w:basedOn w:val="List4"/>
    <w:rsid w:val="006166A2"/>
    <w:pPr>
      <w:ind w:firstLine="0"/>
    </w:pPr>
  </w:style>
  <w:style w:type="paragraph" w:styleId="ListContinue5">
    <w:name w:val="List Continue 5"/>
    <w:basedOn w:val="List5"/>
    <w:rsid w:val="006166A2"/>
    <w:pPr>
      <w:ind w:firstLine="0"/>
    </w:pPr>
  </w:style>
  <w:style w:type="paragraph" w:styleId="ListNumber3">
    <w:name w:val="List Number 3"/>
    <w:basedOn w:val="List3"/>
    <w:rsid w:val="006166A2"/>
    <w:pPr>
      <w:numPr>
        <w:numId w:val="6"/>
      </w:numPr>
    </w:pPr>
  </w:style>
  <w:style w:type="paragraph" w:styleId="ListNumber4">
    <w:name w:val="List Number 4"/>
    <w:basedOn w:val="List4"/>
    <w:rsid w:val="006166A2"/>
    <w:pPr>
      <w:numPr>
        <w:numId w:val="7"/>
      </w:numPr>
    </w:pPr>
  </w:style>
  <w:style w:type="paragraph" w:styleId="ListNumber5">
    <w:name w:val="List Number 5"/>
    <w:basedOn w:val="List5"/>
    <w:rsid w:val="006166A2"/>
    <w:pPr>
      <w:numPr>
        <w:numId w:val="8"/>
      </w:numPr>
    </w:pPr>
  </w:style>
  <w:style w:type="paragraph" w:styleId="BlockText">
    <w:name w:val="Block Text"/>
    <w:basedOn w:val="Normal"/>
    <w:rsid w:val="00616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6A2"/>
    <w:rPr>
      <w:sz w:val="16"/>
      <w:vertAlign w:val="superscript"/>
    </w:rPr>
  </w:style>
  <w:style w:type="character" w:customStyle="1" w:styleId="Symbols">
    <w:name w:val="Symbols"/>
    <w:basedOn w:val="DefaultParagraphFont"/>
    <w:rsid w:val="006166A2"/>
    <w:rPr>
      <w:rFonts w:ascii="Symbol" w:hAnsi="Symbol"/>
    </w:rPr>
  </w:style>
  <w:style w:type="character" w:customStyle="1" w:styleId="MenuOptions">
    <w:name w:val="Menu Options"/>
    <w:basedOn w:val="DefaultParagraphFont"/>
    <w:rsid w:val="00616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6A2"/>
    <w:rPr>
      <w:b/>
    </w:rPr>
  </w:style>
  <w:style w:type="character" w:customStyle="1" w:styleId="Underlined">
    <w:name w:val="Underlined"/>
    <w:basedOn w:val="DefaultParagraphFont"/>
    <w:rsid w:val="006166A2"/>
    <w:rPr>
      <w:u w:val="single"/>
    </w:rPr>
  </w:style>
  <w:style w:type="paragraph" w:customStyle="1" w:styleId="TableBodyTextRight">
    <w:name w:val="Table Body Text Right"/>
    <w:basedOn w:val="TableBodyText"/>
    <w:rsid w:val="00616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6A2"/>
    <w:rPr>
      <w:sz w:val="18"/>
    </w:rPr>
  </w:style>
  <w:style w:type="paragraph" w:customStyle="1" w:styleId="BodySmallRight">
    <w:name w:val="Body Small Right"/>
    <w:basedOn w:val="BodyTextRight"/>
    <w:rsid w:val="006166A2"/>
    <w:rPr>
      <w:sz w:val="18"/>
      <w:szCs w:val="18"/>
    </w:rPr>
  </w:style>
  <w:style w:type="paragraph" w:customStyle="1" w:styleId="MarginEdition">
    <w:name w:val="Margin Edition"/>
    <w:basedOn w:val="MarginNote"/>
    <w:rsid w:val="00616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6A2"/>
    <w:rPr>
      <w:sz w:val="2"/>
      <w:szCs w:val="2"/>
    </w:rPr>
  </w:style>
  <w:style w:type="character" w:customStyle="1" w:styleId="Small">
    <w:name w:val="Small"/>
    <w:basedOn w:val="DefaultParagraphFont"/>
    <w:rsid w:val="006166A2"/>
    <w:rPr>
      <w:sz w:val="16"/>
    </w:rPr>
  </w:style>
  <w:style w:type="paragraph" w:customStyle="1" w:styleId="WideTable">
    <w:name w:val="Wide Table"/>
    <w:basedOn w:val="Normal"/>
    <w:rsid w:val="00616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6A2"/>
  </w:style>
  <w:style w:type="paragraph" w:styleId="Quote">
    <w:name w:val="Quote"/>
    <w:basedOn w:val="Heading1"/>
    <w:link w:val="QuoteChar"/>
    <w:qFormat/>
    <w:rsid w:val="00616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6A2"/>
    <w:pPr>
      <w:pageBreakBefore/>
    </w:pPr>
  </w:style>
  <w:style w:type="paragraph" w:customStyle="1" w:styleId="Border">
    <w:name w:val="Border"/>
    <w:basedOn w:val="Normal"/>
    <w:qFormat/>
    <w:rsid w:val="00616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6A2"/>
    <w:rPr>
      <w:u w:val="single"/>
    </w:rPr>
  </w:style>
  <w:style w:type="character" w:customStyle="1" w:styleId="BoldandItalics">
    <w:name w:val="Bold and Italics"/>
    <w:qFormat/>
    <w:rsid w:val="006166A2"/>
    <w:rPr>
      <w:b/>
      <w:i/>
      <w:u w:val="none"/>
    </w:rPr>
  </w:style>
  <w:style w:type="paragraph" w:styleId="BalloonText">
    <w:name w:val="Balloon Text"/>
    <w:basedOn w:val="Normal"/>
    <w:link w:val="BalloonTextChar"/>
    <w:rsid w:val="00616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6A2"/>
    <w:pPr>
      <w:spacing w:before="0" w:after="0"/>
    </w:pPr>
  </w:style>
  <w:style w:type="paragraph" w:customStyle="1" w:styleId="BodyTextBold">
    <w:name w:val="Body Text Bold"/>
    <w:basedOn w:val="BodyText"/>
    <w:qFormat/>
    <w:rsid w:val="006166A2"/>
    <w:rPr>
      <w:b/>
    </w:rPr>
  </w:style>
  <w:style w:type="character" w:styleId="Hyperlink">
    <w:name w:val="Hyperlink"/>
    <w:basedOn w:val="DefaultParagraphFont"/>
    <w:uiPriority w:val="99"/>
    <w:unhideWhenUsed/>
    <w:rsid w:val="00B35B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323</Words>
  <Characters>2246</Characters>
  <Application>Microsoft Office Word</Application>
  <DocSecurity>0</DocSecurity>
  <Lines>86</Lines>
  <Paragraphs>73</Paragraphs>
  <ScaleCrop>false</ScaleCrop>
  <Company>Author-it Software Corporation Ltd.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CPCCDE4007 Manage waste streams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