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B04" w:rsidP="00B16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CPCCDE4006 Demolish stressed panel structure and pre-cast panel structure</w:t>
      </w:r>
      <w:r>
        <w:fldChar w:fldCharType="end"/>
      </w:r>
    </w:p>
    <w:p w:rsidR="00B16B04" w:rsidP="00B16B04">
      <w:pPr>
        <w:pStyle w:val="Version"/>
        <w:sectPr w:rsidSect="000C3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52D" w:rsidP="000C352D">
      <w:pPr>
        <w:pStyle w:val="SuperHeading"/>
      </w:pPr>
      <w:r w:rsidRPr="000C352D">
        <w:t>CPCCDE4006 Demolish stressed panel structure and pre-cast panel structure</w:t>
      </w:r>
    </w:p>
    <w:p w:rsidR="00000000" w:rsidRPr="000C352D" w:rsidP="000C352D">
      <w:pPr>
        <w:pStyle w:val="Heading1"/>
      </w:pPr>
      <w:bookmarkStart w:id="1" w:name="O_1294529"/>
      <w:bookmarkEnd w:id="1"/>
      <w:r w:rsidRPr="000C35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Updated reference to general construction induction training program.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2D" w:rsidP="000C352D">
            <w:pPr>
              <w:pStyle w:val="BodyText"/>
            </w:pPr>
            <w:r w:rsidRPr="000C352D">
              <w:t>This version first released with CPC Construction, Plumbing and Services Training Package Release 5.0.</w:t>
            </w:r>
          </w:p>
          <w:p w:rsidR="00000000" w:rsidRPr="000C352D" w:rsidP="000C352D">
            <w:pPr>
              <w:pStyle w:val="BodyText"/>
            </w:pPr>
            <w:r w:rsidRPr="000C352D">
              <w:t>New unit.</w:t>
            </w:r>
          </w:p>
        </w:tc>
      </w:tr>
    </w:tbl>
    <w:p w:rsidR="00000000" w:rsidRPr="000C352D" w:rsidP="000C352D">
      <w:pPr>
        <w:pStyle w:val="BodyText"/>
      </w:pPr>
    </w:p>
    <w:p w:rsidR="00000000" w:rsidRPr="000C352D" w:rsidP="000C352D">
      <w:pPr>
        <w:pStyle w:val="AllowPageBreak"/>
      </w:pPr>
    </w:p>
    <w:p w:rsidR="00000000" w:rsidRPr="000C352D" w:rsidP="000C352D">
      <w:pPr>
        <w:pStyle w:val="Heading1"/>
      </w:pPr>
      <w:bookmarkStart w:id="2" w:name="O_1294528"/>
      <w:bookmarkEnd w:id="2"/>
      <w:r w:rsidRPr="000C352D">
        <w:t>Application</w:t>
      </w:r>
    </w:p>
    <w:p w:rsidR="00000000" w:rsidRPr="000C352D" w:rsidP="00B16B04">
      <w:pPr>
        <w:pStyle w:val="BodyText"/>
      </w:pPr>
      <w:r w:rsidRPr="000C352D">
        <w:t>This unit of competency specifies the skills and knowledge required to plan and carryout the demolition of str</w:t>
      </w:r>
      <w:r w:rsidRPr="000C352D">
        <w:t xml:space="preserve">essed and pre-cast structures in accordance with specifications. </w:t>
      </w:r>
    </w:p>
    <w:p w:rsidR="00000000" w:rsidRPr="000C352D" w:rsidP="00B16B04">
      <w:pPr>
        <w:pStyle w:val="BodyText"/>
      </w:pPr>
      <w:r w:rsidRPr="000C352D">
        <w:t xml:space="preserve">It includes planning and preparation for the work, inspecting bars, components and defining the work area. </w:t>
      </w:r>
    </w:p>
    <w:p w:rsidR="00000000" w:rsidRPr="000C352D" w:rsidP="00B16B04">
      <w:pPr>
        <w:pStyle w:val="BodyText"/>
      </w:pPr>
      <w:r w:rsidRPr="000C352D">
        <w:t>Completion of the general construction induction training program specified by the</w:t>
      </w:r>
      <w:r w:rsidRPr="000C352D">
        <w:t xml:space="preserve"> model Code of Practice for Construction Work is required for any person who is to carry out construction work. Achievement of unit</w:t>
      </w:r>
      <w:r w:rsidRPr="000C352D">
        <w:rPr>
          <w:rStyle w:val="Emphasis"/>
        </w:rPr>
        <w:t xml:space="preserve"> CPCWHS1001</w:t>
      </w:r>
      <w:r w:rsidRPr="000C352D">
        <w:t> </w:t>
      </w:r>
      <w:r w:rsidRPr="000C352D">
        <w:rPr>
          <w:rStyle w:val="Emphasis"/>
        </w:rPr>
        <w:t>Prepare to work safely in the construction industry</w:t>
      </w:r>
      <w:r w:rsidRPr="000C352D">
        <w:t> meets this requirement.</w:t>
      </w:r>
    </w:p>
    <w:p w:rsidR="00000000" w:rsidRPr="000C352D" w:rsidP="00B16B04">
      <w:pPr>
        <w:pStyle w:val="BodyText"/>
      </w:pPr>
      <w:r w:rsidRPr="000C352D">
        <w:t>Licensing, legislative, regulatory or</w:t>
      </w:r>
      <w:r w:rsidRPr="000C352D">
        <w:t xml:space="preserve"> certification requirements apply to demolition work in different states and territories. Candidates are advised to consult with the relevant regulatory authorities. </w:t>
      </w:r>
    </w:p>
    <w:p w:rsidR="00000000" w:rsidRPr="000C352D" w:rsidP="000C352D">
      <w:pPr>
        <w:pStyle w:val="Heading1"/>
      </w:pPr>
      <w:bookmarkStart w:id="3" w:name="O_1294527"/>
      <w:bookmarkEnd w:id="3"/>
      <w:r w:rsidRPr="000C352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2D" w:rsidP="000C352D">
            <w:pPr>
              <w:pStyle w:val="BodyText"/>
            </w:pPr>
            <w:r w:rsidRPr="000C352D">
              <w:t>Apply WHS requirements, policies and pr</w:t>
            </w:r>
            <w:r w:rsidRPr="000C352D">
              <w:t>ocedures in the construction industry</w:t>
            </w:r>
          </w:p>
        </w:tc>
      </w:tr>
    </w:tbl>
    <w:p w:rsidR="00000000" w:rsidRPr="000C352D" w:rsidP="000C352D">
      <w:pPr>
        <w:pStyle w:val="BodyText"/>
      </w:pPr>
    </w:p>
    <w:p w:rsidR="00000000" w:rsidRPr="000C352D" w:rsidP="000C352D">
      <w:pPr>
        <w:pStyle w:val="AllowPageBreak"/>
      </w:pPr>
    </w:p>
    <w:p w:rsidR="00000000" w:rsidRPr="000C352D" w:rsidP="000C352D">
      <w:pPr>
        <w:pStyle w:val="Heading1"/>
      </w:pPr>
      <w:bookmarkStart w:id="4" w:name="O_1294526"/>
      <w:bookmarkEnd w:id="4"/>
      <w:r w:rsidRPr="000C352D">
        <w:t>Unit Sector</w:t>
      </w:r>
    </w:p>
    <w:p w:rsidR="00000000" w:rsidRPr="000C352D" w:rsidP="00B16B04">
      <w:pPr>
        <w:pStyle w:val="BodyText"/>
      </w:pPr>
      <w:r w:rsidRPr="000C352D">
        <w:t>Demolition.</w:t>
      </w:r>
    </w:p>
    <w:p w:rsidR="00000000" w:rsidRPr="000C352D" w:rsidP="000C352D">
      <w:pPr>
        <w:pStyle w:val="Heading1"/>
      </w:pPr>
      <w:bookmarkStart w:id="5" w:name="O_1294525"/>
      <w:bookmarkEnd w:id="5"/>
      <w:r w:rsidRPr="000C35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Performance criteria describe what needs to be done to demonstrate achievement of the element.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Obtain, confirm and apply work instructions, including plans, specifications, quality requirements and operational details from relevant information to the scope of work performed.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Plan all work tasks according to manufacturer specifications and reg</w:t>
            </w:r>
            <w:r w:rsidRPr="000C352D">
              <w:t>ulatory, legislative and workplace policies and requirements.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Obtain and interpret building, construction and structural drawings of original buildings to be demolished, where possible.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Engage structural engineer to complete an assessment of the structure, including suspended slabs or beams for the preparation of a demolition work plan.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Follow safety requirements in accordance with safety plans and policies.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Complete safe wo</w:t>
            </w:r>
            <w:r w:rsidRPr="000C352D">
              <w:t>rk method statement (SWMS) where structural elements are to be demolished.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Select tools and equipment to carry out tasks which are consistent with engineer advice and the requirements of the job, check for serviceability and rectify and report any f</w:t>
            </w:r>
            <w:r w:rsidRPr="000C352D">
              <w:t>aults prior to commencement.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Calculate materials quantity requirements in accordance with engineer advice, plans, specifications and quality requirements.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Identify, prepare and safely handle materials and position ready for use.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Identify environmental requirements for the project.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 xml:space="preserve">Identify and explain the key elements, hazards and differences between pre-and post-tensioning to relevant personnel. 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Define the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Define safe working area.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Erect barricades and signage where required to isolate safe work areas.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Examine stressed panel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Drill holes or cut and hammer out sma</w:t>
            </w:r>
            <w:r w:rsidRPr="000C352D">
              <w:t>ll sections of slabs or beams throughout the structure for inspection by engineer and project manager for existing tensioning members within the structure.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Seek advice from engineer regarding the demolition work plan sequence and procedure for demol</w:t>
            </w:r>
            <w:r w:rsidRPr="000C352D">
              <w:t xml:space="preserve">ition of the structure. 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Identify loads carried, anchorage points and number of tendons using relevant plans, photographs and workplace documentation, under the direct supervision of a structural engineer.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Conduct visual inspection to confirm loads and deviations from original plans and specifications, under the direct supervision of a structural engineer.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Examine pre-cast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Review structural engineer’</w:t>
            </w:r>
            <w:r w:rsidRPr="000C352D">
              <w:t>s assessment of the structure, including connections to slabs or beams, for the preparation of a demolition work plan.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Confirm how pre-cast elements are connected to the main building structure and the methods that were used to install them.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Demolish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Conduct visual inspection to confirm loads and connections from original plans and specifications, under the direct supervision of a structural engineer and communicate with demolition team.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Erect public protection outside b</w:t>
            </w:r>
            <w:r w:rsidRPr="000C352D">
              <w:t>uildings above one story in height, as required.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Cut or break out sections of concrete panel to substantiate how the connections to the structure were made.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 xml:space="preserve">Prepare the work area for removal of panels. 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 xml:space="preserve">Install temporary propping to panels adjacent to those planned for removal, as required by engineer instructions. 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Use required tools and equipment to cut through the joins between panels and separate panels.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Break out concrete at the top and bottom of the panel or cut connections in preparation for removal.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Lift and remove panel using a crane or machine with the appropriate connections or mechanically demolish using a hydraulic attachment.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Pull p</w:t>
            </w:r>
            <w:r w:rsidRPr="000C352D">
              <w:t>anel into site and remove connections to structure.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5.10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 xml:space="preserve">Repeat process to remove remaining panels. 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Clear work area and dispose, reuse or recycle materials.</w:t>
            </w:r>
          </w:p>
        </w:tc>
      </w:tr>
      <w:tr w:rsidTr="000C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2D">
            <w:pPr>
              <w:pStyle w:val="BodyText"/>
              <w:rPr>
                <w:lang w:val="en-NZ"/>
              </w:rPr>
            </w:pPr>
            <w:r w:rsidRPr="000C352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2D" w:rsidP="000C352D">
            <w:pPr>
              <w:pStyle w:val="BodyText"/>
            </w:pPr>
            <w:r w:rsidRPr="000C352D">
              <w:t>Clean, check, maintain and store plant, tools and equipment.</w:t>
            </w:r>
          </w:p>
        </w:tc>
      </w:tr>
    </w:tbl>
    <w:p w:rsidR="00000000" w:rsidRPr="000C352D" w:rsidP="000C352D">
      <w:pPr>
        <w:pStyle w:val="BodyText"/>
      </w:pPr>
    </w:p>
    <w:p w:rsidR="00000000" w:rsidRPr="000C352D" w:rsidP="000C352D">
      <w:pPr>
        <w:pStyle w:val="AllowPageBreak"/>
      </w:pPr>
    </w:p>
    <w:p w:rsidR="00000000" w:rsidRPr="000C352D" w:rsidP="000C352D">
      <w:pPr>
        <w:pStyle w:val="Heading1"/>
      </w:pPr>
      <w:bookmarkStart w:id="6" w:name="O_1294524"/>
      <w:bookmarkEnd w:id="6"/>
      <w:r w:rsidRPr="000C352D">
        <w:t>Foundation Skills</w:t>
      </w:r>
    </w:p>
    <w:p w:rsidR="00000000" w:rsidRPr="000C352D" w:rsidP="00B16B04">
      <w:pPr>
        <w:pStyle w:val="BodyText"/>
      </w:pPr>
      <w:r w:rsidRPr="000C352D">
        <w:t xml:space="preserve">Foundation skills essential to performance are explicit in the performance criteria of this unit of competency. </w:t>
      </w:r>
    </w:p>
    <w:p w:rsidR="00000000" w:rsidRPr="000C352D" w:rsidP="000C352D">
      <w:pPr>
        <w:pStyle w:val="Heading1"/>
      </w:pPr>
      <w:bookmarkStart w:id="7" w:name="O_1294523"/>
      <w:bookmarkEnd w:id="7"/>
      <w:r w:rsidRPr="000C352D">
        <w:t>Unit Mapping Information</w:t>
      </w:r>
    </w:p>
    <w:p w:rsidR="00000000" w:rsidRPr="000C352D" w:rsidP="00B16B04">
      <w:pPr>
        <w:pStyle w:val="BodyText"/>
      </w:pPr>
      <w:r w:rsidRPr="000C352D">
        <w:t xml:space="preserve">No equivalent unit. </w:t>
      </w:r>
    </w:p>
    <w:p w:rsidR="00000000" w:rsidRPr="000C352D" w:rsidP="000C352D">
      <w:pPr>
        <w:pStyle w:val="Heading1"/>
      </w:pPr>
      <w:bookmarkStart w:id="8" w:name="O_1294530"/>
      <w:bookmarkEnd w:id="8"/>
      <w:r w:rsidRPr="000C352D">
        <w:t>Links</w:t>
      </w:r>
    </w:p>
    <w:p w:rsidR="00000000" w:rsidRPr="000C352D" w:rsidP="00B16B04">
      <w:pPr>
        <w:pStyle w:val="BodyText"/>
      </w:pPr>
      <w:r w:rsidRPr="000C35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28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352D" w:rsidP="000C352D"/>
    <w:sectPr w:rsidSect="000C3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2D" w:rsidRPr="00B16B04" w:rsidP="00B16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04" w:rsidP="000C3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B04" w:rsidP="000C3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16B04" w:rsidP="000C3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52D" w:rsidRPr="00B16B04" w:rsidP="00B16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04" w:rsidRPr="002D2AF8" w:rsidP="000C3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CPCCDE4006 Demolish stressed panel structure and pre-cast panel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16B04" w:rsidP="000C3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52D"/>
  </w:style>
  <w:style w:type="character" w:customStyle="1" w:styleId="Heading1Char">
    <w:name w:val="Heading 1 Char"/>
    <w:basedOn w:val="DefaultParagraphFont"/>
    <w:link w:val="Heading1"/>
    <w:rsid w:val="000C3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52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C352D"/>
    <w:rPr>
      <w:i/>
    </w:rPr>
  </w:style>
  <w:style w:type="paragraph" w:customStyle="1" w:styleId="SuperHeading">
    <w:name w:val="SuperHeading"/>
    <w:basedOn w:val="Normal"/>
    <w:rsid w:val="000C3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5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5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52D"/>
    <w:rPr>
      <w:b/>
      <w:spacing w:val="0"/>
    </w:rPr>
  </w:style>
  <w:style w:type="paragraph" w:customStyle="1" w:styleId="SuperTitle">
    <w:name w:val="SuperTitle"/>
    <w:basedOn w:val="Title"/>
    <w:rsid w:val="000C3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5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5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52D"/>
  </w:style>
  <w:style w:type="paragraph" w:styleId="TableofFigures">
    <w:name w:val="table of figures"/>
    <w:basedOn w:val="Normal"/>
    <w:next w:val="Normal"/>
    <w:semiHidden/>
    <w:rsid w:val="000C3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5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52D"/>
    <w:rPr>
      <w:rFonts w:ascii="Wingdings" w:hAnsi="Wingdings"/>
    </w:rPr>
  </w:style>
  <w:style w:type="paragraph" w:customStyle="1" w:styleId="TableHeading">
    <w:name w:val="Table Heading"/>
    <w:basedOn w:val="HeadingBase"/>
    <w:rsid w:val="000C3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52D"/>
    <w:rPr>
      <w:color w:val="0033CC"/>
      <w:u w:val="none"/>
    </w:rPr>
  </w:style>
  <w:style w:type="paragraph" w:customStyle="1" w:styleId="BodyTextRight">
    <w:name w:val="Body Text Right"/>
    <w:basedOn w:val="BodyText"/>
    <w:rsid w:val="000C3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5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52D"/>
    <w:rPr>
      <w:sz w:val="32"/>
    </w:rPr>
  </w:style>
  <w:style w:type="paragraph" w:customStyle="1" w:styleId="HeadingProcedure">
    <w:name w:val="Heading Procedure"/>
    <w:basedOn w:val="HeadingBase"/>
    <w:next w:val="Normal"/>
    <w:rsid w:val="000C3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52D"/>
    <w:pPr>
      <w:spacing w:before="60" w:after="60"/>
    </w:pPr>
  </w:style>
  <w:style w:type="paragraph" w:styleId="ListContinue">
    <w:name w:val="List Continue"/>
    <w:basedOn w:val="List"/>
    <w:rsid w:val="000C352D"/>
    <w:pPr>
      <w:ind w:firstLine="0"/>
    </w:pPr>
  </w:style>
  <w:style w:type="paragraph" w:customStyle="1" w:styleId="ListNote">
    <w:name w:val="List Note"/>
    <w:basedOn w:val="List"/>
    <w:rsid w:val="000C3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52D"/>
    <w:rPr>
      <w:rFonts w:ascii="Courier New" w:hAnsi="Courier New"/>
    </w:rPr>
  </w:style>
  <w:style w:type="paragraph" w:customStyle="1" w:styleId="NoteBullet">
    <w:name w:val="Note Bullet"/>
    <w:basedOn w:val="Note"/>
    <w:rsid w:val="000C3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5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52D"/>
    <w:rPr>
      <w:b/>
      <w:smallCaps/>
    </w:rPr>
  </w:style>
  <w:style w:type="paragraph" w:customStyle="1" w:styleId="TableListNumber">
    <w:name w:val="Table List Number"/>
    <w:basedOn w:val="ListNumber"/>
    <w:rsid w:val="000C3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52D"/>
    <w:pPr>
      <w:numPr>
        <w:numId w:val="7"/>
      </w:numPr>
    </w:pPr>
  </w:style>
  <w:style w:type="paragraph" w:customStyle="1" w:styleId="ListAlpha2">
    <w:name w:val="List Alpha 2"/>
    <w:basedOn w:val="List2"/>
    <w:rsid w:val="000C352D"/>
    <w:pPr>
      <w:numPr>
        <w:numId w:val="6"/>
      </w:numPr>
    </w:pPr>
  </w:style>
  <w:style w:type="paragraph" w:styleId="List2">
    <w:name w:val="List 2"/>
    <w:basedOn w:val="BodyText"/>
    <w:rsid w:val="000C3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5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5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52D"/>
    <w:pPr>
      <w:numPr>
        <w:numId w:val="2"/>
      </w:numPr>
    </w:pPr>
  </w:style>
  <w:style w:type="paragraph" w:styleId="ListContinue2">
    <w:name w:val="List Continue 2"/>
    <w:basedOn w:val="List2"/>
    <w:rsid w:val="000C352D"/>
    <w:pPr>
      <w:ind w:firstLine="0"/>
    </w:pPr>
  </w:style>
  <w:style w:type="paragraph" w:styleId="ListContinue3">
    <w:name w:val="List Continue 3"/>
    <w:basedOn w:val="List3"/>
    <w:rsid w:val="000C352D"/>
    <w:pPr>
      <w:ind w:left="1021" w:firstLine="0"/>
    </w:pPr>
  </w:style>
  <w:style w:type="paragraph" w:styleId="ListContinue4">
    <w:name w:val="List Continue 4"/>
    <w:basedOn w:val="List4"/>
    <w:rsid w:val="000C352D"/>
    <w:pPr>
      <w:ind w:firstLine="0"/>
    </w:pPr>
  </w:style>
  <w:style w:type="paragraph" w:styleId="ListContinue5">
    <w:name w:val="List Continue 5"/>
    <w:basedOn w:val="List5"/>
    <w:rsid w:val="000C352D"/>
    <w:pPr>
      <w:ind w:firstLine="0"/>
    </w:pPr>
  </w:style>
  <w:style w:type="paragraph" w:styleId="ListNumber3">
    <w:name w:val="List Number 3"/>
    <w:basedOn w:val="List3"/>
    <w:rsid w:val="000C352D"/>
    <w:pPr>
      <w:numPr>
        <w:numId w:val="3"/>
      </w:numPr>
    </w:pPr>
  </w:style>
  <w:style w:type="paragraph" w:styleId="ListNumber4">
    <w:name w:val="List Number 4"/>
    <w:basedOn w:val="List4"/>
    <w:rsid w:val="000C352D"/>
    <w:pPr>
      <w:numPr>
        <w:numId w:val="4"/>
      </w:numPr>
    </w:pPr>
  </w:style>
  <w:style w:type="paragraph" w:styleId="ListNumber5">
    <w:name w:val="List Number 5"/>
    <w:basedOn w:val="List5"/>
    <w:rsid w:val="000C352D"/>
    <w:pPr>
      <w:numPr>
        <w:numId w:val="5"/>
      </w:numPr>
    </w:pPr>
  </w:style>
  <w:style w:type="paragraph" w:styleId="BlockText">
    <w:name w:val="Block Text"/>
    <w:basedOn w:val="Normal"/>
    <w:rsid w:val="000C3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52D"/>
    <w:rPr>
      <w:sz w:val="16"/>
      <w:vertAlign w:val="superscript"/>
    </w:rPr>
  </w:style>
  <w:style w:type="character" w:customStyle="1" w:styleId="Symbols">
    <w:name w:val="Symbols"/>
    <w:basedOn w:val="DefaultParagraphFont"/>
    <w:rsid w:val="000C352D"/>
    <w:rPr>
      <w:rFonts w:ascii="Symbol" w:hAnsi="Symbol"/>
    </w:rPr>
  </w:style>
  <w:style w:type="character" w:customStyle="1" w:styleId="MenuOptions">
    <w:name w:val="Menu Options"/>
    <w:basedOn w:val="DefaultParagraphFont"/>
    <w:rsid w:val="000C3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52D"/>
    <w:rPr>
      <w:b/>
    </w:rPr>
  </w:style>
  <w:style w:type="character" w:customStyle="1" w:styleId="Underlined">
    <w:name w:val="Underlined"/>
    <w:basedOn w:val="DefaultParagraphFont"/>
    <w:rsid w:val="000C352D"/>
    <w:rPr>
      <w:u w:val="single"/>
    </w:rPr>
  </w:style>
  <w:style w:type="paragraph" w:customStyle="1" w:styleId="TableBodyTextRight">
    <w:name w:val="Table Body Text Right"/>
    <w:basedOn w:val="TableBodyText"/>
    <w:rsid w:val="000C3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52D"/>
    <w:rPr>
      <w:sz w:val="18"/>
    </w:rPr>
  </w:style>
  <w:style w:type="paragraph" w:customStyle="1" w:styleId="BodySmallRight">
    <w:name w:val="Body Small Right"/>
    <w:basedOn w:val="BodyTextRight"/>
    <w:rsid w:val="000C352D"/>
    <w:rPr>
      <w:sz w:val="18"/>
      <w:szCs w:val="18"/>
    </w:rPr>
  </w:style>
  <w:style w:type="paragraph" w:customStyle="1" w:styleId="MarginEdition">
    <w:name w:val="Margin Edition"/>
    <w:basedOn w:val="MarginNote"/>
    <w:rsid w:val="000C3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52D"/>
    <w:rPr>
      <w:sz w:val="2"/>
      <w:szCs w:val="2"/>
    </w:rPr>
  </w:style>
  <w:style w:type="character" w:customStyle="1" w:styleId="Small">
    <w:name w:val="Small"/>
    <w:basedOn w:val="DefaultParagraphFont"/>
    <w:rsid w:val="000C352D"/>
    <w:rPr>
      <w:sz w:val="16"/>
    </w:rPr>
  </w:style>
  <w:style w:type="paragraph" w:customStyle="1" w:styleId="WideTable">
    <w:name w:val="Wide Table"/>
    <w:basedOn w:val="Normal"/>
    <w:rsid w:val="000C3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52D"/>
  </w:style>
  <w:style w:type="paragraph" w:styleId="Quote">
    <w:name w:val="Quote"/>
    <w:basedOn w:val="Heading1"/>
    <w:link w:val="QuoteChar"/>
    <w:qFormat/>
    <w:rsid w:val="000C3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52D"/>
    <w:pPr>
      <w:pageBreakBefore/>
    </w:pPr>
  </w:style>
  <w:style w:type="paragraph" w:customStyle="1" w:styleId="Border">
    <w:name w:val="Border"/>
    <w:basedOn w:val="Normal"/>
    <w:qFormat/>
    <w:rsid w:val="000C3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52D"/>
    <w:rPr>
      <w:u w:val="single"/>
    </w:rPr>
  </w:style>
  <w:style w:type="character" w:customStyle="1" w:styleId="BoldandItalics">
    <w:name w:val="Bold and Italics"/>
    <w:qFormat/>
    <w:rsid w:val="000C352D"/>
    <w:rPr>
      <w:b/>
      <w:i/>
      <w:u w:val="none"/>
    </w:rPr>
  </w:style>
  <w:style w:type="paragraph" w:styleId="BalloonText">
    <w:name w:val="Balloon Text"/>
    <w:basedOn w:val="Normal"/>
    <w:link w:val="BalloonTextChar"/>
    <w:rsid w:val="000C3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52D"/>
    <w:pPr>
      <w:spacing w:before="0" w:after="0"/>
    </w:pPr>
  </w:style>
  <w:style w:type="paragraph" w:customStyle="1" w:styleId="BodyTextBold">
    <w:name w:val="Body Text Bold"/>
    <w:basedOn w:val="BodyText"/>
    <w:qFormat/>
    <w:rsid w:val="000C352D"/>
    <w:rPr>
      <w:b/>
    </w:rPr>
  </w:style>
  <w:style w:type="character" w:styleId="Hyperlink">
    <w:name w:val="Hyperlink"/>
    <w:basedOn w:val="DefaultParagraphFont"/>
    <w:uiPriority w:val="99"/>
    <w:unhideWhenUsed/>
    <w:rsid w:val="00B16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4995</Characters>
  <Application>Microsoft Office Word</Application>
  <DocSecurity>0</DocSecurity>
  <Lines>249</Lines>
  <Paragraphs>123</Paragraphs>
  <ScaleCrop>false</ScaleCrop>
  <Company>Author-it Software Corporation Ltd.</Company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CPCCDE4006 Demolish stressed panel structure and pre-cast panel structure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