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DC1" w:rsidP="00487DC1">
      <w:pPr>
        <w:pStyle w:val="Title"/>
      </w:pPr>
      <w:r>
        <w:fldChar w:fldCharType="begin"/>
      </w:r>
      <w:r>
        <w:instrText xml:space="preserve"> TITLE   \* MERGEFORMAT </w:instrText>
      </w:r>
      <w:r>
        <w:fldChar w:fldCharType="separate"/>
      </w:r>
      <w:r>
        <w:t>CPCCDE4002 Plan demolition work to minimise risk to health, safety and environment</w:t>
      </w:r>
      <w:r>
        <w:fldChar w:fldCharType="end"/>
      </w:r>
    </w:p>
    <w:p w:rsidR="00487DC1" w:rsidP="00487DC1">
      <w:pPr>
        <w:pStyle w:val="Version"/>
        <w:sectPr w:rsidSect="00793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3EE0" w:rsidP="00793EE0">
      <w:pPr>
        <w:pStyle w:val="SuperHeading"/>
      </w:pPr>
      <w:r w:rsidRPr="00793EE0">
        <w:t>CPCCDE4002 Plan demolition work to minimise risk to health, safety and environment</w:t>
      </w:r>
    </w:p>
    <w:p w:rsidR="00000000" w:rsidRPr="00793EE0" w:rsidP="00793EE0">
      <w:pPr>
        <w:pStyle w:val="Heading1"/>
      </w:pPr>
      <w:bookmarkStart w:id="1" w:name="O_1294593"/>
      <w:bookmarkEnd w:id="1"/>
      <w:r w:rsidRPr="00793EE0">
        <w:t>Modification History</w:t>
      </w:r>
    </w:p>
    <w:tbl>
      <w:tblPr>
        <w:tblW w:w="0" w:type="auto"/>
        <w:tblLayout w:type="fixed"/>
        <w:tblCellMar>
          <w:left w:w="62" w:type="dxa"/>
          <w:right w:w="62" w:type="dxa"/>
        </w:tblCellMar>
        <w:tblLook w:val="0000"/>
      </w:tblPr>
      <w:tblGrid>
        <w:gridCol w:w="1128"/>
        <w:gridCol w:w="7944"/>
      </w:tblGrid>
      <w:tr w:rsidTr="00793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Release 2</w:t>
            </w:r>
          </w:p>
        </w:tc>
        <w:tc>
          <w:tcPr>
            <w:tcW w:w="794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Updated reference to general construction induction training program.</w:t>
            </w:r>
          </w:p>
        </w:tc>
      </w:tr>
      <w:tr w:rsidTr="00793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Release 1</w:t>
            </w:r>
          </w:p>
        </w:tc>
        <w:tc>
          <w:tcPr>
            <w:tcW w:w="7944" w:type="dxa"/>
            <w:tcBorders>
              <w:top w:val="nil"/>
              <w:left w:val="nil"/>
              <w:bottom w:val="nil"/>
              <w:right w:val="nil"/>
            </w:tcBorders>
            <w:tcMar>
              <w:top w:w="0" w:type="dxa"/>
              <w:left w:w="62" w:type="dxa"/>
              <w:bottom w:w="0" w:type="dxa"/>
              <w:right w:w="62" w:type="dxa"/>
            </w:tcMar>
          </w:tcPr>
          <w:p w:rsidR="00000000" w:rsidRPr="00793EE0" w:rsidP="00793EE0">
            <w:pPr>
              <w:pStyle w:val="BodyText"/>
            </w:pPr>
            <w:r w:rsidRPr="00793EE0">
              <w:t>This version first released with CPC Construction, Plumbing and Services Training Package Release 5.0.</w:t>
            </w:r>
          </w:p>
          <w:p w:rsidR="00000000" w:rsidRPr="00793EE0" w:rsidP="00793EE0">
            <w:pPr>
              <w:pStyle w:val="BodyText"/>
            </w:pPr>
            <w:r w:rsidRPr="00793EE0">
              <w:t>Supersedes and is equivalent to CPCCDE4002A Plan and supervise demolition work to minimise environmental and public health and safety impact.  Minor titl</w:t>
            </w:r>
            <w:r w:rsidRPr="00793EE0">
              <w:t>e change.  Updated to meet the Standards for Training Packages 2012.</w:t>
            </w:r>
          </w:p>
        </w:tc>
      </w:tr>
    </w:tbl>
    <w:p w:rsidR="00000000" w:rsidRPr="00793EE0" w:rsidP="00793EE0">
      <w:pPr>
        <w:pStyle w:val="BodyText"/>
      </w:pPr>
    </w:p>
    <w:p w:rsidR="00000000" w:rsidRPr="00793EE0" w:rsidP="00793EE0">
      <w:pPr>
        <w:pStyle w:val="AllowPageBreak"/>
      </w:pPr>
    </w:p>
    <w:p w:rsidR="00000000" w:rsidRPr="00793EE0" w:rsidP="00793EE0">
      <w:pPr>
        <w:pStyle w:val="Heading1"/>
      </w:pPr>
      <w:bookmarkStart w:id="2" w:name="O_1294592"/>
      <w:bookmarkEnd w:id="2"/>
      <w:r w:rsidRPr="00793EE0">
        <w:t>Application</w:t>
      </w:r>
    </w:p>
    <w:p w:rsidR="00000000" w:rsidRPr="00793EE0" w:rsidP="00487DC1">
      <w:pPr>
        <w:pStyle w:val="BodyText"/>
      </w:pPr>
      <w:r w:rsidRPr="00793EE0">
        <w:t>This unit of competency specifies the skills and knowledge required to plan large demolition projects, including but not limited to structures or installa</w:t>
      </w:r>
      <w:r w:rsidRPr="00793EE0">
        <w:t>tions above 15 metres, to minimise environmental, public health and safety impact. It includes interpreting and meeting relevant compliance requirements and developing and implementing proactive measures to exceed them where possible.</w:t>
      </w:r>
    </w:p>
    <w:p w:rsidR="00000000" w:rsidRPr="00793EE0" w:rsidP="00487DC1">
      <w:pPr>
        <w:pStyle w:val="BodyText"/>
      </w:pPr>
      <w:r w:rsidRPr="00793EE0">
        <w:t>Completion of the gen</w:t>
      </w:r>
      <w:r w:rsidRPr="00793EE0">
        <w:t xml:space="preserve">eral construction induction training program specified by the model Code of Practice for Construction Work is required for any person who is to carry out construction work. Achievement of </w:t>
      </w:r>
      <w:r w:rsidRPr="00793EE0">
        <w:rPr>
          <w:rStyle w:val="Emphasis"/>
        </w:rPr>
        <w:t>CPCWHS1001</w:t>
      </w:r>
      <w:r w:rsidRPr="00793EE0">
        <w:t> </w:t>
      </w:r>
      <w:r w:rsidRPr="00793EE0">
        <w:rPr>
          <w:rStyle w:val="Emphasis"/>
        </w:rPr>
        <w:t>Prepare to work safely in the construction industry</w:t>
      </w:r>
      <w:r w:rsidRPr="00793EE0">
        <w:t> meets</w:t>
      </w:r>
      <w:r w:rsidRPr="00793EE0">
        <w:t xml:space="preserve"> this requirement.</w:t>
      </w:r>
    </w:p>
    <w:p w:rsidR="00000000" w:rsidRPr="00793EE0" w:rsidP="00487DC1">
      <w:pPr>
        <w:pStyle w:val="BodyText"/>
      </w:pPr>
      <w:r w:rsidRPr="00793EE0">
        <w:t>Licensing, legislative, regulatory or certification requirements apply to demolition work in different states and territories. Candidates are advised to consult with the relevant regulatory authorities.</w:t>
      </w:r>
    </w:p>
    <w:p w:rsidR="00000000" w:rsidRPr="00793EE0" w:rsidP="00793EE0">
      <w:pPr>
        <w:pStyle w:val="Heading1"/>
      </w:pPr>
      <w:bookmarkStart w:id="3" w:name="O_1294591"/>
      <w:bookmarkEnd w:id="3"/>
      <w:r w:rsidRPr="00793EE0">
        <w:t>Pre-requisite U</w:t>
      </w:r>
      <w:r w:rsidRPr="00793EE0">
        <w:t>nit</w:t>
      </w:r>
    </w:p>
    <w:p w:rsidR="00000000" w:rsidRPr="00793EE0" w:rsidP="00487DC1">
      <w:pPr>
        <w:pStyle w:val="BodyText"/>
      </w:pPr>
      <w:r w:rsidRPr="00793EE0">
        <w:t>Nil.</w:t>
      </w:r>
    </w:p>
    <w:p w:rsidR="00000000" w:rsidRPr="00793EE0" w:rsidP="00793EE0">
      <w:pPr>
        <w:pStyle w:val="Heading1"/>
      </w:pPr>
      <w:bookmarkStart w:id="4" w:name="O_1294590"/>
      <w:bookmarkEnd w:id="4"/>
      <w:r w:rsidRPr="00793EE0">
        <w:t>Unit Sector</w:t>
      </w:r>
    </w:p>
    <w:p w:rsidR="00000000" w:rsidRPr="00793EE0" w:rsidP="00487DC1">
      <w:pPr>
        <w:pStyle w:val="BodyText"/>
      </w:pPr>
      <w:r w:rsidRPr="00793EE0">
        <w:t>Demolition.</w:t>
      </w:r>
    </w:p>
    <w:p w:rsidR="00000000" w:rsidRPr="00793EE0" w:rsidP="00793EE0">
      <w:pPr>
        <w:pStyle w:val="Heading1"/>
      </w:pPr>
      <w:bookmarkStart w:id="5" w:name="O_1294589"/>
      <w:bookmarkEnd w:id="5"/>
      <w:r w:rsidRPr="00793E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93E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Performance criteria describe what needs to be done to demonstrate achievement of the element.</w:t>
            </w:r>
          </w:p>
        </w:tc>
      </w:tr>
      <w:tr w:rsidTr="00793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1</w:t>
            </w:r>
          </w:p>
        </w:tc>
        <w:tc>
          <w:tcPr>
            <w:tcW w:w="2357"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Assess potential impacts of demolition tasks.</w:t>
            </w: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1.1</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Determine environmental and public health and safety compliance requirements for the demolition site and geographic locality.</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1.2</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Determine potential impacts on public health and safety.</w:t>
            </w:r>
          </w:p>
        </w:tc>
      </w:tr>
      <w:tr w:rsidTr="00793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E0">
            <w:pPr>
              <w:pStyle w:val="BodyText"/>
              <w:rPr>
                <w:lang w:val="en-NZ"/>
              </w:rPr>
            </w:pPr>
          </w:p>
        </w:tc>
      </w:tr>
      <w:tr w:rsidTr="00793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2</w:t>
            </w:r>
          </w:p>
        </w:tc>
        <w:tc>
          <w:tcPr>
            <w:tcW w:w="2357"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Implement measures to minimise impacts of demolition work on the environment.</w:t>
            </w: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2.1</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Investigate, select and incorporate strategies into procedures to minimise impacts on air quality.</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2.2</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Investigate, select and incorporate strategies into procedures to mi</w:t>
            </w:r>
            <w:r w:rsidRPr="00793EE0">
              <w:t>nimise water wastage and impacts on stormwater.</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2.3</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Investigate, select and incorporate strategies into procedures to minimise energy wastage and employ renewable energy technologies.</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2.4</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Investigate, select and incorporate strategies into procedures to minimise material wastage and to ensure safe disposal of hazardous and waste materials.</w:t>
            </w:r>
          </w:p>
        </w:tc>
      </w:tr>
      <w:tr w:rsidTr="00793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E0">
            <w:pPr>
              <w:pStyle w:val="BodyText"/>
              <w:rPr>
                <w:lang w:val="en-NZ"/>
              </w:rPr>
            </w:pPr>
          </w:p>
        </w:tc>
      </w:tr>
      <w:tr w:rsidTr="00793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3</w:t>
            </w:r>
          </w:p>
        </w:tc>
        <w:tc>
          <w:tcPr>
            <w:tcW w:w="2357"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Identify measures to minimise impacts of demolition work on the public.</w:t>
            </w: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3.1</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Interpret and amend strategies regarding site containment, exclusion and signage strategies to minimise impacts on the public and to maximise employee awareness.</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3.2</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Interpret and amend strategies regarding pedestrian and traffic management plan for sit</w:t>
            </w:r>
            <w:r w:rsidRPr="00793EE0">
              <w:t>e and site perimeter to minimise risks to the public.</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3.3</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Interpret and amend strategies regarding fall prevention for both personnel and materials to minimise risks to site personnel and the public.</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3.4</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Interpret and amend strategies regarding noise, air pollution and vibration management to minimise impact on the public.</w:t>
            </w:r>
          </w:p>
        </w:tc>
      </w:tr>
      <w:tr w:rsidTr="00793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E0">
            <w:pPr>
              <w:pStyle w:val="BodyText"/>
              <w:rPr>
                <w:lang w:val="en-NZ"/>
              </w:rPr>
            </w:pPr>
          </w:p>
        </w:tc>
      </w:tr>
      <w:tr w:rsidTr="00793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4</w:t>
            </w:r>
          </w:p>
        </w:tc>
        <w:tc>
          <w:tcPr>
            <w:tcW w:w="2357"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Develop demolition work plans.</w:t>
            </w: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4.1</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Interpret documentation to develop demolition work plans.</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4.2</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Confirm personnel and staff availability are sufficient for work plans.</w:t>
            </w:r>
          </w:p>
        </w:tc>
      </w:tr>
      <w:tr w:rsidTr="00793E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93EE0">
            <w:pPr>
              <w:pStyle w:val="BodyText"/>
              <w:rPr>
                <w:lang w:val="en-NZ"/>
              </w:rPr>
            </w:pPr>
          </w:p>
        </w:tc>
      </w:tr>
      <w:tr w:rsidTr="00793E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5</w:t>
            </w:r>
          </w:p>
        </w:tc>
        <w:tc>
          <w:tcPr>
            <w:tcW w:w="2357" w:type="dxa"/>
            <w:vMerge w:val="restart"/>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Brief team and supervise implementation of impact minimisation strategies.</w:t>
            </w: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5.1</w:t>
            </w:r>
          </w:p>
        </w:tc>
        <w:tc>
          <w:tcPr>
            <w:tcW w:w="5659"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Consult with demolition teams to confirm strategies for minimising impact of demolition work on the environment and on public health and safety.</w:t>
            </w:r>
          </w:p>
        </w:tc>
      </w:tr>
      <w:tr w:rsidTr="00793E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5.2</w:t>
            </w:r>
          </w:p>
        </w:tc>
        <w:tc>
          <w:tcPr>
            <w:tcW w:w="5659" w:type="dxa"/>
            <w:tcBorders>
              <w:top w:val="nil"/>
              <w:left w:val="nil"/>
              <w:bottom w:val="nil"/>
              <w:right w:val="nil"/>
            </w:tcBorders>
            <w:tcMar>
              <w:top w:w="0" w:type="dxa"/>
              <w:left w:w="62" w:type="dxa"/>
              <w:bottom w:w="0" w:type="dxa"/>
              <w:right w:w="62" w:type="dxa"/>
            </w:tcMar>
          </w:tcPr>
          <w:p w:rsidR="00000000" w:rsidRPr="00793EE0" w:rsidP="00793EE0">
            <w:pPr>
              <w:pStyle w:val="BodyText"/>
            </w:pPr>
            <w:r w:rsidRPr="00793EE0">
              <w:t>Distribute amended safe work method statements (SWMS) and invite and respond to questions, as required.</w:t>
            </w:r>
          </w:p>
        </w:tc>
      </w:tr>
    </w:tbl>
    <w:p w:rsidR="00000000" w:rsidRPr="00793EE0" w:rsidP="00793EE0">
      <w:pPr>
        <w:pStyle w:val="BodyText"/>
      </w:pPr>
    </w:p>
    <w:p w:rsidR="00000000" w:rsidRPr="00793EE0" w:rsidP="00793EE0">
      <w:pPr>
        <w:pStyle w:val="AllowPageBreak"/>
      </w:pPr>
    </w:p>
    <w:p w:rsidR="00000000" w:rsidRPr="00793EE0" w:rsidP="00793EE0">
      <w:pPr>
        <w:pStyle w:val="Heading1"/>
      </w:pPr>
      <w:bookmarkStart w:id="6" w:name="O_1294588"/>
      <w:bookmarkEnd w:id="6"/>
      <w:r w:rsidRPr="00793EE0">
        <w:t>Foundation Skills</w:t>
      </w:r>
    </w:p>
    <w:p w:rsidR="00000000" w:rsidRPr="00793EE0" w:rsidP="00487DC1">
      <w:pPr>
        <w:pStyle w:val="BodyText"/>
      </w:pPr>
      <w:r w:rsidRPr="00793EE0">
        <w:t xml:space="preserve">Foundation skills essential to performance are explicit in the performance criteria of this unit of competency. </w:t>
      </w:r>
    </w:p>
    <w:p w:rsidR="00000000" w:rsidRPr="00793EE0" w:rsidP="00793EE0">
      <w:pPr>
        <w:pStyle w:val="Heading1"/>
      </w:pPr>
      <w:bookmarkStart w:id="7" w:name="O_1294587"/>
      <w:bookmarkEnd w:id="7"/>
      <w:r w:rsidRPr="00793EE0">
        <w:t>Unit Mapping Information</w:t>
      </w:r>
    </w:p>
    <w:p w:rsidR="00000000" w:rsidRPr="00793EE0" w:rsidP="00487DC1">
      <w:pPr>
        <w:pStyle w:val="BodyText"/>
      </w:pPr>
      <w:r w:rsidRPr="00793EE0">
        <w:t>Supersedes and is equi</w:t>
      </w:r>
      <w:r w:rsidRPr="00793EE0">
        <w:t>valent to CPCCDE4002A Plan and supervise demolition work to minimise environmental and public health and safety impact.</w:t>
      </w:r>
    </w:p>
    <w:p w:rsidR="00000000" w:rsidRPr="00793EE0" w:rsidP="00793EE0">
      <w:pPr>
        <w:pStyle w:val="Heading1"/>
      </w:pPr>
      <w:bookmarkStart w:id="8" w:name="O_1294594"/>
      <w:bookmarkEnd w:id="8"/>
      <w:r w:rsidRPr="00793EE0">
        <w:t>Links</w:t>
      </w:r>
    </w:p>
    <w:p w:rsidR="00000000" w:rsidRPr="00793EE0" w:rsidP="00487DC1">
      <w:pPr>
        <w:pStyle w:val="BodyText"/>
      </w:pPr>
      <w:r w:rsidRPr="00793E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A5891">
        <w:rPr>
          <w:rStyle w:val="Hyperlink"/>
        </w:rPr>
        <w:t>https://vetnet.gov.au/Pages/TrainingDocs.aspx?q=7e15fa6a-68b8-4097-b099-030a5569b1ad</w:t>
      </w:r>
      <w:r>
        <w:fldChar w:fldCharType="end"/>
      </w:r>
    </w:p>
    <w:p w:rsidR="00000000" w:rsidRPr="00793EE0" w:rsidP="00487DC1">
      <w:pPr>
        <w:pStyle w:val="BodyText"/>
        <w:sectPr w:rsidSect="00793EE0">
          <w:headerReference w:type="default" r:id="rId10"/>
          <w:footerReference w:type="default" r:id="rId11"/>
          <w:pgSz w:w="11908" w:h="16833"/>
          <w:pgMar w:top="1702" w:right="1418" w:bottom="1702" w:left="1418" w:header="992" w:footer="992" w:gutter="0"/>
          <w:cols w:space="720"/>
          <w:noEndnote/>
          <w:docGrid w:linePitch="299"/>
        </w:sectPr>
      </w:pPr>
    </w:p>
    <w:p w:rsidR="00000000" w:rsidRPr="00793EE0" w:rsidP="00793EE0">
      <w:pPr>
        <w:pStyle w:val="SuperHeading"/>
      </w:pPr>
      <w:r w:rsidRPr="00793EE0">
        <w:t>Assessment Requirements for CPCCDE4002 Plan demolition work to minimise risk to health, safety and environment</w:t>
      </w:r>
    </w:p>
    <w:p w:rsidR="00000000" w:rsidRPr="00793EE0" w:rsidP="00793EE0">
      <w:pPr>
        <w:pStyle w:val="Heading1"/>
      </w:pPr>
      <w:bookmarkStart w:id="9" w:name="O_1294585"/>
      <w:bookmarkEnd w:id="9"/>
      <w:r w:rsidRPr="00793EE0">
        <w:t>Modification History</w:t>
      </w:r>
    </w:p>
    <w:tbl>
      <w:tblPr>
        <w:tblW w:w="0" w:type="auto"/>
        <w:tblLayout w:type="fixed"/>
        <w:tblCellMar>
          <w:left w:w="62" w:type="dxa"/>
          <w:right w:w="62" w:type="dxa"/>
        </w:tblCellMar>
        <w:tblLook w:val="0000"/>
      </w:tblPr>
      <w:tblGrid>
        <w:gridCol w:w="1128"/>
        <w:gridCol w:w="7944"/>
      </w:tblGrid>
      <w:tr w:rsidTr="00793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Rele</w:t>
            </w:r>
            <w:r w:rsidRPr="00793EE0">
              <w:t>ase 2</w:t>
            </w:r>
          </w:p>
        </w:tc>
        <w:tc>
          <w:tcPr>
            <w:tcW w:w="7944"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Updated reference to general construction induction training program.</w:t>
            </w:r>
          </w:p>
        </w:tc>
      </w:tr>
      <w:tr w:rsidTr="00793E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93EE0">
            <w:pPr>
              <w:pStyle w:val="BodyText"/>
              <w:rPr>
                <w:lang w:val="en-NZ"/>
              </w:rPr>
            </w:pPr>
            <w:r w:rsidRPr="00793EE0">
              <w:t>Release 1</w:t>
            </w:r>
          </w:p>
        </w:tc>
        <w:tc>
          <w:tcPr>
            <w:tcW w:w="7944" w:type="dxa"/>
            <w:tcBorders>
              <w:top w:val="nil"/>
              <w:left w:val="nil"/>
              <w:bottom w:val="nil"/>
              <w:right w:val="nil"/>
            </w:tcBorders>
            <w:tcMar>
              <w:top w:w="0" w:type="dxa"/>
              <w:left w:w="62" w:type="dxa"/>
              <w:bottom w:w="0" w:type="dxa"/>
              <w:right w:w="62" w:type="dxa"/>
            </w:tcMar>
          </w:tcPr>
          <w:p w:rsidR="00000000" w:rsidRPr="00793EE0" w:rsidP="00793EE0">
            <w:pPr>
              <w:pStyle w:val="BodyText"/>
            </w:pPr>
            <w:r w:rsidRPr="00793EE0">
              <w:t>This version first released with CPC Construction, Plumbing and Services Training Package Release 5.0.</w:t>
            </w:r>
          </w:p>
          <w:p w:rsidR="00000000" w:rsidRPr="00793EE0" w:rsidP="00793EE0">
            <w:pPr>
              <w:pStyle w:val="BodyText"/>
            </w:pPr>
            <w:r w:rsidRPr="00793EE0">
              <w:t>Supersedes and is equivalent to CPCCDE4002A Plan and supervise demolition work to minimise environmental and public health and safety impact.  Minor title change.  Updated to meet the Standards for Training Packages 2012.</w:t>
            </w:r>
          </w:p>
        </w:tc>
      </w:tr>
    </w:tbl>
    <w:p w:rsidR="00000000" w:rsidRPr="00793EE0" w:rsidP="00793EE0">
      <w:pPr>
        <w:pStyle w:val="BodyText"/>
      </w:pPr>
    </w:p>
    <w:p w:rsidR="00000000" w:rsidRPr="00793EE0" w:rsidP="00793EE0">
      <w:pPr>
        <w:pStyle w:val="AllowPageBreak"/>
      </w:pPr>
    </w:p>
    <w:p w:rsidR="00000000" w:rsidRPr="00793EE0" w:rsidP="00793EE0">
      <w:pPr>
        <w:pStyle w:val="Heading1"/>
      </w:pPr>
      <w:bookmarkStart w:id="10" w:name="O_1294584"/>
      <w:bookmarkEnd w:id="10"/>
      <w:r w:rsidRPr="00793EE0">
        <w:t>Performance E</w:t>
      </w:r>
      <w:r w:rsidRPr="00793EE0">
        <w:t>vidence</w:t>
      </w:r>
    </w:p>
    <w:p w:rsidR="00000000" w:rsidRPr="00793EE0" w:rsidP="00487DC1">
      <w:pPr>
        <w:pStyle w:val="BodyText"/>
      </w:pPr>
      <w:r w:rsidRPr="00793EE0">
        <w:t>To demonstrate competency in this unit, a candidate must plan and supervise demolition work to minimise environmental and public health and safety impact on two demolition projects, one of which must involve a structure above 15 metres in height. T</w:t>
      </w:r>
      <w:r w:rsidRPr="00793EE0">
        <w:t>he candidate must:</w:t>
      </w:r>
    </w:p>
    <w:p w:rsidR="00000000" w:rsidRPr="00793EE0" w:rsidP="00793EE0">
      <w:pPr>
        <w:pStyle w:val="ListBullet"/>
      </w:pPr>
      <w:r w:rsidRPr="00793EE0">
        <w:t>assess the potential impacts of the demolition tasks</w:t>
      </w:r>
    </w:p>
    <w:p w:rsidR="00000000" w:rsidRPr="00793EE0" w:rsidP="00793EE0">
      <w:pPr>
        <w:pStyle w:val="ListBullet"/>
      </w:pPr>
      <w:r w:rsidRPr="00793EE0">
        <w:t>identify measures to minimise the impacts of the demolition work on the environment</w:t>
      </w:r>
    </w:p>
    <w:p w:rsidR="00000000" w:rsidRPr="00793EE0" w:rsidP="00793EE0">
      <w:pPr>
        <w:pStyle w:val="ListBullet"/>
      </w:pPr>
      <w:r w:rsidRPr="00793EE0">
        <w:t>identify measures to minimise the impacts of the demolition work on the public</w:t>
      </w:r>
    </w:p>
    <w:p w:rsidR="00000000" w:rsidRPr="00793EE0" w:rsidP="00793EE0">
      <w:pPr>
        <w:pStyle w:val="ListBullet"/>
      </w:pPr>
      <w:r w:rsidRPr="00793EE0">
        <w:t>review strategies an</w:t>
      </w:r>
      <w:r w:rsidRPr="00793EE0">
        <w:t>d demolition work plan</w:t>
      </w:r>
    </w:p>
    <w:p w:rsidR="00000000" w:rsidRPr="00793EE0" w:rsidP="00793EE0">
      <w:pPr>
        <w:pStyle w:val="ListBullet"/>
      </w:pPr>
      <w:r w:rsidRPr="00793EE0">
        <w:t xml:space="preserve">brief and consult with the demolition team.  </w:t>
      </w:r>
    </w:p>
    <w:p w:rsidR="00000000" w:rsidRPr="00793EE0" w:rsidP="00487DC1">
      <w:pPr>
        <w:pStyle w:val="BodyText"/>
      </w:pPr>
      <w:r w:rsidRPr="00793EE0">
        <w:t>In doing this, the candidate must meet the performance criteria for this unit.</w:t>
      </w:r>
    </w:p>
    <w:p w:rsidR="00000000" w:rsidRPr="00793EE0" w:rsidP="00793EE0">
      <w:pPr>
        <w:pStyle w:val="Heading1"/>
      </w:pPr>
      <w:bookmarkStart w:id="11" w:name="O_1294583"/>
      <w:bookmarkEnd w:id="11"/>
      <w:r w:rsidRPr="00793EE0">
        <w:t>Knowledge Evidence</w:t>
      </w:r>
    </w:p>
    <w:p w:rsidR="00000000" w:rsidRPr="00793EE0" w:rsidP="00487DC1">
      <w:pPr>
        <w:pStyle w:val="BodyText"/>
      </w:pPr>
      <w:r w:rsidRPr="00793EE0">
        <w:t>To be competent in this unit, a candidate must demonstrate knowledge of:</w:t>
      </w:r>
    </w:p>
    <w:p w:rsidR="00000000" w:rsidRPr="00793EE0" w:rsidP="00793EE0">
      <w:pPr>
        <w:pStyle w:val="ListBullet"/>
      </w:pPr>
      <w:r w:rsidRPr="00793EE0">
        <w:t>the compliance requirements of the relevant Australian Standards, Building Code of Australia (BCA), model codes of practice, environmental and work health and safety (WHS) legislatio</w:t>
      </w:r>
      <w:r w:rsidRPr="00793EE0">
        <w:t>n</w:t>
      </w:r>
    </w:p>
    <w:p w:rsidR="00000000" w:rsidRPr="00793EE0" w:rsidP="00793EE0">
      <w:pPr>
        <w:pStyle w:val="ListBullet"/>
      </w:pPr>
      <w:r w:rsidRPr="00793EE0">
        <w:t>demolition procedures, techniques and safety requirements</w:t>
      </w:r>
    </w:p>
    <w:p w:rsidR="00000000" w:rsidRPr="00793EE0" w:rsidP="00793EE0">
      <w:pPr>
        <w:pStyle w:val="ListBullet"/>
      </w:pPr>
      <w:r w:rsidRPr="00793EE0">
        <w:t>demolition site inspection procedures</w:t>
      </w:r>
    </w:p>
    <w:p w:rsidR="00000000" w:rsidRPr="00793EE0" w:rsidP="00793EE0">
      <w:pPr>
        <w:pStyle w:val="ListBullet"/>
      </w:pPr>
      <w:r w:rsidRPr="00793EE0">
        <w:t>environmental and public health and safety hazards and risks existing or arising on demolition sites, and relevant risk management strategies</w:t>
      </w:r>
    </w:p>
    <w:p w:rsidR="00000000" w:rsidRPr="00793EE0" w:rsidP="00793EE0">
      <w:pPr>
        <w:pStyle w:val="ListBullet"/>
      </w:pPr>
      <w:r w:rsidRPr="00793EE0">
        <w:t>legislation, reg</w:t>
      </w:r>
      <w:r w:rsidRPr="00793EE0">
        <w:t>ulations, codes and standards relating to environmental and public health and safety on demolition sites</w:t>
      </w:r>
    </w:p>
    <w:p w:rsidR="00000000" w:rsidRPr="00793EE0" w:rsidP="00793EE0">
      <w:pPr>
        <w:pStyle w:val="ListBullet"/>
      </w:pPr>
      <w:r w:rsidRPr="00793EE0">
        <w:t xml:space="preserve">plant, tools and equipment required for demolition tasks: </w:t>
      </w:r>
    </w:p>
    <w:p w:rsidR="00000000" w:rsidRPr="00793EE0" w:rsidP="00793EE0">
      <w:pPr>
        <w:pStyle w:val="ListBullet2"/>
      </w:pPr>
      <w:r w:rsidRPr="00793EE0">
        <w:t xml:space="preserve">permits and licences required </w:t>
      </w:r>
    </w:p>
    <w:p w:rsidR="00000000" w:rsidRPr="00793EE0" w:rsidP="00793EE0">
      <w:pPr>
        <w:pStyle w:val="ListBullet2"/>
      </w:pPr>
      <w:r w:rsidRPr="00793EE0">
        <w:t>safe operating procedures</w:t>
      </w:r>
    </w:p>
    <w:p w:rsidR="00000000" w:rsidRPr="00793EE0" w:rsidP="00793EE0">
      <w:pPr>
        <w:pStyle w:val="ListBullet"/>
      </w:pPr>
      <w:r w:rsidRPr="00793EE0">
        <w:t>project management strategies</w:t>
      </w:r>
    </w:p>
    <w:p w:rsidR="00000000" w:rsidRPr="00793EE0" w:rsidP="00793EE0">
      <w:pPr>
        <w:pStyle w:val="ListBullet"/>
      </w:pPr>
      <w:r w:rsidRPr="00793EE0">
        <w:t>quality management strategies</w:t>
      </w:r>
    </w:p>
    <w:p w:rsidR="00000000" w:rsidRPr="00793EE0" w:rsidP="00793EE0">
      <w:pPr>
        <w:pStyle w:val="ListBullet"/>
      </w:pPr>
      <w:r w:rsidRPr="00793EE0">
        <w:t>strategies to minimise environmental and public health and safety risks on and around demolition sites</w:t>
      </w:r>
    </w:p>
    <w:p w:rsidR="00000000" w:rsidRPr="00793EE0" w:rsidP="00793EE0">
      <w:pPr>
        <w:pStyle w:val="ListBullet"/>
      </w:pPr>
      <w:r w:rsidRPr="00793EE0">
        <w:t>team leadership strategies.</w:t>
      </w:r>
    </w:p>
    <w:p w:rsidR="00000000" w:rsidRPr="00793EE0" w:rsidP="00793EE0">
      <w:pPr>
        <w:pStyle w:val="AllowPageBreak"/>
      </w:pPr>
    </w:p>
    <w:p w:rsidR="00000000" w:rsidRPr="00793EE0" w:rsidP="00793EE0">
      <w:pPr>
        <w:pStyle w:val="Heading1"/>
      </w:pPr>
      <w:bookmarkStart w:id="12" w:name="O_1294582"/>
      <w:bookmarkEnd w:id="12"/>
      <w:r w:rsidRPr="00793EE0">
        <w:t>Assessment Conditions</w:t>
      </w:r>
    </w:p>
    <w:p w:rsidR="00000000" w:rsidRPr="00793EE0" w:rsidP="00487DC1">
      <w:pPr>
        <w:pStyle w:val="BodyText"/>
      </w:pPr>
      <w:r w:rsidRPr="00793EE0">
        <w:t xml:space="preserve">Assessors must satisfy the requirements for assessors </w:t>
      </w:r>
      <w:r w:rsidRPr="00793EE0">
        <w:t xml:space="preserve">contained in the Standards for Registered Training Organisations. </w:t>
      </w:r>
    </w:p>
    <w:p w:rsidR="00000000" w:rsidRPr="00793EE0" w:rsidP="00487DC1">
      <w:pPr>
        <w:pStyle w:val="BodyText"/>
      </w:pPr>
      <w:r w:rsidRPr="00793EE0">
        <w:t xml:space="preserve">Assessment of performance must be undertaken in the workplace or in a simulated workplace environment. </w:t>
      </w:r>
    </w:p>
    <w:p w:rsidR="00000000" w:rsidRPr="00793EE0" w:rsidP="00487DC1">
      <w:pPr>
        <w:pStyle w:val="BodyText"/>
      </w:pPr>
      <w:r w:rsidRPr="00793EE0">
        <w:t>Assessors are responsible for ensuring that the candidate demonstrating competency ha</w:t>
      </w:r>
      <w:r w:rsidRPr="00793EE0">
        <w:t>s access to:</w:t>
      </w:r>
    </w:p>
    <w:p w:rsidR="00000000" w:rsidRPr="00793EE0" w:rsidP="00793EE0">
      <w:pPr>
        <w:pStyle w:val="ListBullet"/>
      </w:pPr>
      <w:r w:rsidRPr="00793EE0">
        <w:t>worksite/s and specifications for planning and documenting demolition work</w:t>
      </w:r>
    </w:p>
    <w:p w:rsidR="00000000" w:rsidRPr="00793EE0" w:rsidP="00793EE0">
      <w:pPr>
        <w:pStyle w:val="ListBullet"/>
      </w:pPr>
      <w:r w:rsidRPr="00793EE0">
        <w:t>appropriate documents, materials, tools, equipment and personal protective equipment (PPE) currently used in industry</w:t>
      </w:r>
    </w:p>
    <w:p w:rsidR="00000000" w:rsidRPr="00793EE0" w:rsidP="00793EE0">
      <w:pPr>
        <w:pStyle w:val="ListBullet"/>
      </w:pPr>
      <w:r w:rsidRPr="00793EE0">
        <w:t>requirements of workplace policies, procedures an</w:t>
      </w:r>
      <w:r w:rsidRPr="00793EE0">
        <w:t>d demolition plans.</w:t>
      </w:r>
    </w:p>
    <w:p w:rsidR="00000000" w:rsidRPr="00793EE0" w:rsidP="00793EE0">
      <w:pPr>
        <w:pStyle w:val="AllowPageBreak"/>
      </w:pPr>
    </w:p>
    <w:p w:rsidR="00000000" w:rsidRPr="00793EE0" w:rsidP="00793EE0">
      <w:pPr>
        <w:pStyle w:val="Heading1"/>
      </w:pPr>
      <w:bookmarkStart w:id="13" w:name="O_1294595"/>
      <w:bookmarkEnd w:id="13"/>
      <w:r w:rsidRPr="00793EE0">
        <w:t>Links</w:t>
      </w:r>
    </w:p>
    <w:p w:rsidR="00000000" w:rsidRPr="00793EE0" w:rsidP="00487DC1">
      <w:pPr>
        <w:pStyle w:val="BodyText"/>
      </w:pPr>
      <w:r w:rsidRPr="00793E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A5891">
        <w:rPr>
          <w:rStyle w:val="Hyperlink"/>
        </w:rPr>
        <w:t>https://vetnet.gov.au/Pages/TrainingDocs.aspx?q=7e15fa6a-68b8-4097-b099-030a5569b1ad</w:t>
      </w:r>
      <w:r>
        <w:fldChar w:fldCharType="end"/>
      </w:r>
    </w:p>
    <w:p w:rsidR="00000000" w:rsidRPr="00793EE0" w:rsidP="00793EE0"/>
    <w:sectPr w:rsidSect="00793E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rsidRPr="00487DC1" w:rsidP="00487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C1" w:rsidP="00793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DC1" w:rsidP="00793E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87DC1" w:rsidP="00793E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rsidP="00793EE0">
    <w:pPr>
      <w:pStyle w:val="Footer"/>
      <w:framePr w:wrap="around"/>
    </w:pPr>
    <w:r>
      <w:fldChar w:fldCharType="begin"/>
    </w:r>
    <w:r>
      <w:instrText xml:space="preserve"> DOCPROPERTY  Subject  \* MERGEFORMAT </w:instrText>
    </w:r>
    <w:r>
      <w:fldChar w:fldCharType="separate"/>
    </w:r>
    <w:r w:rsidR="00487DC1">
      <w:t>Approved</w:t>
    </w:r>
    <w:r w:rsidR="00487DC1">
      <w:fldChar w:fldCharType="end"/>
    </w:r>
    <w:r>
      <w:tab/>
      <w:t xml:space="preserve">Page </w:t>
    </w:r>
    <w:r>
      <w:fldChar w:fldCharType="begin"/>
    </w:r>
    <w:r>
      <w:instrText xml:space="preserve"> PAGE  \* Arabic  \* MERGEFORMAT </w:instrText>
    </w:r>
    <w:r>
      <w:fldChar w:fldCharType="separate"/>
    </w:r>
    <w:r w:rsidR="00487D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DC1">
      <w:rPr>
        <w:noProof/>
      </w:rPr>
      <w:t>4</w:t>
    </w:r>
    <w:r>
      <w:rPr>
        <w:noProof/>
      </w:rPr>
      <w:fldChar w:fldCharType="end"/>
    </w:r>
  </w:p>
  <w:p w:rsidR="00793EE0" w:rsidP="00793EE0">
    <w:pPr>
      <w:pStyle w:val="Footer"/>
      <w:framePr w:wrap="around"/>
    </w:pPr>
    <w:r>
      <w:t xml:space="preserve">© Commonwealth of Australia, </w:t>
    </w:r>
    <w:r>
      <w:fldChar w:fldCharType="begin"/>
    </w:r>
    <w:r>
      <w:instrText xml:space="preserve"> DATE  \@ "yyyy"  \* MERGEFORMAT </w:instrText>
    </w:r>
    <w:r>
      <w:fldChar w:fldCharType="separate"/>
    </w:r>
    <w:r w:rsidR="00487DC1">
      <w:rPr>
        <w:noProof/>
      </w:rPr>
      <w:t>2025</w:t>
    </w:r>
    <w:r>
      <w:fldChar w:fldCharType="end"/>
    </w:r>
    <w:r>
      <w:tab/>
    </w:r>
    <w:r>
      <w:fldChar w:fldCharType="begin"/>
    </w:r>
    <w:r>
      <w:instrText xml:space="preserve"> DOCPROPERTY  Author  \* MERGEFORMAT </w:instrText>
    </w:r>
    <w:r>
      <w:fldChar w:fldCharType="separate"/>
    </w:r>
    <w:r w:rsidR="00487DC1">
      <w:t>BuildSkills Australia</w:t>
    </w:r>
    <w:r w:rsidR="00487DC1">
      <w:fldChar w:fldCharType="end"/>
    </w:r>
  </w:p>
  <w:p w:rsidR="00793EE0" w:rsidP="00793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EE0" w:rsidRPr="00487DC1" w:rsidP="00487D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C1" w:rsidRPr="002D2AF8" w:rsidP="00793EE0">
    <w:pPr>
      <w:pStyle w:val="Header"/>
      <w:framePr w:wrap="around"/>
    </w:pPr>
    <w:r>
      <w:fldChar w:fldCharType="begin"/>
    </w:r>
    <w:r>
      <w:instrText xml:space="preserve"> TITLE   \* MERGEFORMAT </w:instrText>
    </w:r>
    <w:r>
      <w:fldChar w:fldCharType="separate"/>
    </w:r>
    <w:r>
      <w:t>CPCCDE4002 Plan demolition work to minimise risk to health, safety and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7DC1" w:rsidP="00793E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E0" w:rsidRPr="002D2AF8" w:rsidP="00793EE0">
    <w:pPr>
      <w:pStyle w:val="Header"/>
      <w:framePr w:wrap="around"/>
    </w:pPr>
    <w:r>
      <w:fldChar w:fldCharType="begin"/>
    </w:r>
    <w:r>
      <w:instrText xml:space="preserve"> TITLE   \* MERGEFORMAT </w:instrText>
    </w:r>
    <w:r>
      <w:fldChar w:fldCharType="separate"/>
    </w:r>
    <w:r w:rsidR="00487DC1">
      <w:t>CPCCDE4002 Plan demolition work to minimise risk to health, safety and environment</w:t>
    </w:r>
    <w:r w:rsidR="00487DC1">
      <w:fldChar w:fldCharType="end"/>
    </w:r>
    <w:r>
      <w:tab/>
      <w:t xml:space="preserve">Date this document was generated: </w:t>
    </w:r>
    <w:r>
      <w:fldChar w:fldCharType="begin"/>
    </w:r>
    <w:r>
      <w:instrText xml:space="preserve"> CREATEDATE  \@ "d MMMM yyyy"  \* MERGEFORMAT </w:instrText>
    </w:r>
    <w:r>
      <w:fldChar w:fldCharType="separate"/>
    </w:r>
    <w:r w:rsidR="00487DC1">
      <w:rPr>
        <w:noProof/>
      </w:rPr>
      <w:t>1 March 2025</w:t>
    </w:r>
    <w:r>
      <w:fldChar w:fldCharType="end"/>
    </w:r>
  </w:p>
  <w:p w:rsidR="00793EE0" w:rsidP="00793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CD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EC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C1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EE0"/>
    <w:pPr>
      <w:spacing w:before="360" w:after="60"/>
      <w:outlineLvl w:val="0"/>
    </w:pPr>
    <w:rPr>
      <w:sz w:val="32"/>
    </w:rPr>
  </w:style>
  <w:style w:type="paragraph" w:styleId="Heading2">
    <w:name w:val="heading 2"/>
    <w:basedOn w:val="HeadingBase"/>
    <w:next w:val="BodyText"/>
    <w:link w:val="Heading2Char"/>
    <w:qFormat/>
    <w:rsid w:val="00793EE0"/>
    <w:pPr>
      <w:keepLines/>
      <w:spacing w:before="240" w:after="120"/>
      <w:outlineLvl w:val="1"/>
    </w:pPr>
    <w:rPr>
      <w:sz w:val="28"/>
      <w:szCs w:val="40"/>
    </w:rPr>
  </w:style>
  <w:style w:type="paragraph" w:styleId="Heading3">
    <w:name w:val="heading 3"/>
    <w:basedOn w:val="HeadingBase"/>
    <w:next w:val="BodyText"/>
    <w:link w:val="Heading3Char"/>
    <w:qFormat/>
    <w:rsid w:val="00793EE0"/>
    <w:pPr>
      <w:spacing w:before="180" w:after="120"/>
      <w:outlineLvl w:val="2"/>
    </w:pPr>
    <w:rPr>
      <w:spacing w:val="-10"/>
      <w:kern w:val="32"/>
    </w:rPr>
  </w:style>
  <w:style w:type="paragraph" w:styleId="Heading4">
    <w:name w:val="heading 4"/>
    <w:basedOn w:val="HeadingBase"/>
    <w:next w:val="BodyText"/>
    <w:link w:val="Heading4Char"/>
    <w:qFormat/>
    <w:rsid w:val="00793EE0"/>
    <w:pPr>
      <w:spacing w:before="160" w:after="120"/>
      <w:outlineLvl w:val="3"/>
    </w:pPr>
    <w:rPr>
      <w:sz w:val="22"/>
    </w:rPr>
  </w:style>
  <w:style w:type="paragraph" w:styleId="Heading5">
    <w:name w:val="heading 5"/>
    <w:basedOn w:val="HeadingBase"/>
    <w:next w:val="Normal"/>
    <w:link w:val="Heading5Char"/>
    <w:qFormat/>
    <w:rsid w:val="00793EE0"/>
    <w:pPr>
      <w:spacing w:before="80"/>
      <w:outlineLvl w:val="4"/>
    </w:pPr>
    <w:rPr>
      <w:color w:val="918585"/>
      <w:sz w:val="20"/>
    </w:rPr>
  </w:style>
  <w:style w:type="paragraph" w:styleId="Heading6">
    <w:name w:val="heading 6"/>
    <w:basedOn w:val="HeadingBase"/>
    <w:next w:val="Normal"/>
    <w:link w:val="Heading6Char"/>
    <w:qFormat/>
    <w:rsid w:val="00793EE0"/>
    <w:pPr>
      <w:spacing w:before="60"/>
      <w:outlineLvl w:val="5"/>
    </w:pPr>
    <w:rPr>
      <w:color w:val="918585"/>
      <w:sz w:val="20"/>
    </w:rPr>
  </w:style>
  <w:style w:type="paragraph" w:styleId="Heading7">
    <w:name w:val="heading 7"/>
    <w:basedOn w:val="Normal"/>
    <w:next w:val="Normal"/>
    <w:link w:val="Heading7Char"/>
    <w:qFormat/>
    <w:rsid w:val="00793EE0"/>
    <w:pPr>
      <w:ind w:left="720"/>
      <w:outlineLvl w:val="6"/>
    </w:pPr>
    <w:rPr>
      <w:i/>
    </w:rPr>
  </w:style>
  <w:style w:type="paragraph" w:styleId="Heading8">
    <w:name w:val="heading 8"/>
    <w:basedOn w:val="Normal"/>
    <w:next w:val="Normal"/>
    <w:link w:val="Heading8Char"/>
    <w:qFormat/>
    <w:rsid w:val="00793EE0"/>
    <w:pPr>
      <w:ind w:left="720"/>
      <w:outlineLvl w:val="7"/>
    </w:pPr>
    <w:rPr>
      <w:i/>
    </w:rPr>
  </w:style>
  <w:style w:type="paragraph" w:styleId="Heading9">
    <w:name w:val="heading 9"/>
    <w:basedOn w:val="Normal"/>
    <w:next w:val="Normal"/>
    <w:link w:val="Heading9Char"/>
    <w:qFormat/>
    <w:rsid w:val="00793EE0"/>
    <w:pPr>
      <w:ind w:left="720"/>
      <w:outlineLvl w:val="8"/>
    </w:pPr>
    <w:rPr>
      <w:i/>
    </w:rPr>
  </w:style>
  <w:style w:type="character" w:default="1" w:styleId="DefaultParagraphFont">
    <w:name w:val="Default Paragraph Font"/>
    <w:uiPriority w:val="1"/>
    <w:unhideWhenUsed/>
    <w:rsid w:val="00793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EE0"/>
  </w:style>
  <w:style w:type="character" w:customStyle="1" w:styleId="Heading1Char">
    <w:name w:val="Heading 1 Char"/>
    <w:basedOn w:val="DefaultParagraphFont"/>
    <w:link w:val="Heading1"/>
    <w:rsid w:val="00793EE0"/>
    <w:rPr>
      <w:rFonts w:ascii="Times New Roman" w:eastAsia="Times New Roman" w:hAnsi="Times New Roman" w:cs="Times New Roman"/>
      <w:b/>
      <w:sz w:val="32"/>
      <w:szCs w:val="20"/>
      <w:lang w:eastAsia="en-US"/>
    </w:rPr>
  </w:style>
  <w:style w:type="paragraph" w:styleId="BodyText">
    <w:name w:val="Body Text"/>
    <w:basedOn w:val="Normal"/>
    <w:link w:val="BodyTextChar"/>
    <w:rsid w:val="00793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EE0"/>
    <w:rPr>
      <w:rFonts w:ascii="Times New Roman" w:eastAsia="Times New Roman" w:hAnsi="Times New Roman" w:cs="Times New Roman"/>
      <w:sz w:val="24"/>
      <w:lang w:eastAsia="en-US"/>
    </w:rPr>
  </w:style>
  <w:style w:type="paragraph" w:styleId="ListBullet">
    <w:name w:val="List Bullet"/>
    <w:basedOn w:val="List"/>
    <w:rsid w:val="00793EE0"/>
    <w:pPr>
      <w:numPr>
        <w:numId w:val="12"/>
      </w:numPr>
      <w:tabs>
        <w:tab w:val="clear" w:pos="340"/>
      </w:tabs>
      <w:spacing w:before="40" w:after="40"/>
    </w:pPr>
  </w:style>
  <w:style w:type="paragraph" w:styleId="ListBullet2">
    <w:name w:val="List Bullet 2"/>
    <w:basedOn w:val="List2"/>
    <w:rsid w:val="00793EE0"/>
    <w:pPr>
      <w:numPr>
        <w:numId w:val="13"/>
      </w:numPr>
      <w:tabs>
        <w:tab w:val="clear" w:pos="680"/>
      </w:tabs>
    </w:pPr>
  </w:style>
  <w:style w:type="character" w:styleId="Emphasis">
    <w:name w:val="Emphasis"/>
    <w:basedOn w:val="DefaultParagraphFont"/>
    <w:qFormat/>
    <w:rsid w:val="00793EE0"/>
    <w:rPr>
      <w:i/>
    </w:rPr>
  </w:style>
  <w:style w:type="paragraph" w:customStyle="1" w:styleId="SuperHeading">
    <w:name w:val="SuperHeading"/>
    <w:basedOn w:val="Normal"/>
    <w:rsid w:val="00793EE0"/>
    <w:pPr>
      <w:spacing w:before="240" w:after="120"/>
      <w:outlineLvl w:val="0"/>
    </w:pPr>
    <w:rPr>
      <w:rFonts w:ascii="Times New Roman" w:hAnsi="Times New Roman"/>
      <w:b/>
      <w:sz w:val="32"/>
    </w:rPr>
  </w:style>
  <w:style w:type="paragraph" w:customStyle="1" w:styleId="AllowPageBreak">
    <w:name w:val="AllowPageBreak"/>
    <w:rsid w:val="00793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EE0"/>
    <w:rPr>
      <w:rFonts w:ascii="Courier New" w:eastAsia="Times New Roman" w:hAnsi="Courier New" w:cs="Times New Roman"/>
      <w:i/>
      <w:szCs w:val="20"/>
      <w:lang w:eastAsia="en-US"/>
    </w:rPr>
  </w:style>
  <w:style w:type="paragraph" w:customStyle="1" w:styleId="HeadingBase">
    <w:name w:val="Heading Base"/>
    <w:rsid w:val="00793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EE0"/>
    <w:pPr>
      <w:tabs>
        <w:tab w:val="right" w:leader="dot" w:pos="9072"/>
      </w:tabs>
      <w:ind w:left="567"/>
    </w:pPr>
    <w:rPr>
      <w:szCs w:val="22"/>
    </w:rPr>
  </w:style>
  <w:style w:type="paragraph" w:customStyle="1" w:styleId="TOCBase">
    <w:name w:val="TOC Base"/>
    <w:rsid w:val="00793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EE0"/>
    <w:pPr>
      <w:tabs>
        <w:tab w:val="right" w:leader="dot" w:pos="9072"/>
      </w:tabs>
      <w:spacing w:before="40" w:after="40"/>
      <w:ind w:left="284"/>
    </w:pPr>
    <w:rPr>
      <w:rFonts w:ascii="Times New Roman" w:hAnsi="Times New Roman"/>
    </w:rPr>
  </w:style>
  <w:style w:type="paragraph" w:styleId="TOC1">
    <w:name w:val="toc 1"/>
    <w:basedOn w:val="TOCBase"/>
    <w:next w:val="Normal"/>
    <w:rsid w:val="00793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EE0"/>
    <w:rPr>
      <w:rFonts w:ascii="Times New Roman" w:eastAsia="Times New Roman" w:hAnsi="Times New Roman" w:cs="Times New Roman"/>
      <w:sz w:val="16"/>
      <w:lang w:eastAsia="en-US"/>
    </w:rPr>
  </w:style>
  <w:style w:type="paragraph" w:styleId="Title">
    <w:name w:val="Title"/>
    <w:basedOn w:val="HeadingBase"/>
    <w:link w:val="TitleChar"/>
    <w:qFormat/>
    <w:rsid w:val="00793EE0"/>
    <w:pPr>
      <w:spacing w:before="5040"/>
      <w:jc w:val="center"/>
    </w:pPr>
    <w:rPr>
      <w:sz w:val="48"/>
      <w:szCs w:val="72"/>
      <w:lang w:val="en-US"/>
    </w:rPr>
  </w:style>
  <w:style w:type="character" w:customStyle="1" w:styleId="TitleChar">
    <w:name w:val="Title Char"/>
    <w:basedOn w:val="DefaultParagraphFont"/>
    <w:link w:val="Title"/>
    <w:rsid w:val="00793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EE0"/>
    <w:pPr>
      <w:tabs>
        <w:tab w:val="left" w:pos="3600"/>
        <w:tab w:val="left" w:pos="3958"/>
      </w:tabs>
    </w:pPr>
  </w:style>
  <w:style w:type="paragraph" w:styleId="List">
    <w:name w:val="List"/>
    <w:basedOn w:val="BodyText"/>
    <w:next w:val="BodyText"/>
    <w:rsid w:val="00793EE0"/>
    <w:pPr>
      <w:tabs>
        <w:tab w:val="left" w:pos="340"/>
      </w:tabs>
      <w:spacing w:before="60" w:after="60"/>
      <w:ind w:left="340" w:hanging="340"/>
    </w:pPr>
  </w:style>
  <w:style w:type="paragraph" w:customStyle="1" w:styleId="Note">
    <w:name w:val="Note"/>
    <w:basedOn w:val="BodyText"/>
    <w:rsid w:val="00793E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EE0"/>
    <w:rPr>
      <w:b/>
      <w:spacing w:val="0"/>
    </w:rPr>
  </w:style>
  <w:style w:type="paragraph" w:customStyle="1" w:styleId="SuperTitle">
    <w:name w:val="SuperTitle"/>
    <w:basedOn w:val="Title"/>
    <w:rsid w:val="00793EE0"/>
    <w:pPr>
      <w:framePr w:wrap="auto" w:hAnchor="text" w:y="6049"/>
    </w:pPr>
    <w:rPr>
      <w:color w:val="000000"/>
      <w:sz w:val="40"/>
    </w:rPr>
  </w:style>
  <w:style w:type="paragraph" w:customStyle="1" w:styleId="TOCTitle">
    <w:name w:val="TOCTitle"/>
    <w:basedOn w:val="Heading1"/>
    <w:rsid w:val="00793EE0"/>
    <w:pPr>
      <w:spacing w:after="240"/>
      <w:jc w:val="center"/>
      <w:outlineLvl w:val="9"/>
    </w:pPr>
    <w:rPr>
      <w:caps/>
    </w:rPr>
  </w:style>
  <w:style w:type="paragraph" w:customStyle="1" w:styleId="Version">
    <w:name w:val="Version"/>
    <w:rsid w:val="00793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EE0"/>
    <w:pPr>
      <w:keepNext w:val="0"/>
      <w:tabs>
        <w:tab w:val="right" w:pos="4176"/>
      </w:tabs>
      <w:ind w:left="198" w:hanging="198"/>
    </w:pPr>
    <w:rPr>
      <w:rFonts w:ascii="Garamond" w:hAnsi="Garamond"/>
    </w:rPr>
  </w:style>
  <w:style w:type="paragraph" w:styleId="IndexHeading">
    <w:name w:val="index heading"/>
    <w:basedOn w:val="Normal"/>
    <w:next w:val="Index1"/>
    <w:semiHidden/>
    <w:rsid w:val="00793EE0"/>
    <w:pPr>
      <w:spacing w:before="120" w:after="120"/>
    </w:pPr>
    <w:rPr>
      <w:rFonts w:ascii="Arial" w:hAnsi="Arial"/>
      <w:b/>
      <w:color w:val="918585"/>
      <w:sz w:val="24"/>
    </w:rPr>
  </w:style>
  <w:style w:type="paragraph" w:styleId="Header">
    <w:name w:val="header"/>
    <w:basedOn w:val="Normal"/>
    <w:link w:val="HeaderChar"/>
    <w:rsid w:val="00793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EE0"/>
    <w:rPr>
      <w:rFonts w:ascii="Times New Roman" w:eastAsia="Times New Roman" w:hAnsi="Times New Roman" w:cs="Times New Roman"/>
      <w:sz w:val="16"/>
      <w:szCs w:val="20"/>
      <w:lang w:val="en-GB" w:eastAsia="en-US"/>
    </w:rPr>
  </w:style>
  <w:style w:type="paragraph" w:customStyle="1" w:styleId="Chapter">
    <w:name w:val="Chapter"/>
    <w:basedOn w:val="Normal"/>
    <w:rsid w:val="00793EE0"/>
    <w:pPr>
      <w:spacing w:before="240"/>
    </w:pPr>
    <w:rPr>
      <w:rFonts w:ascii="Times New Roman" w:hAnsi="Times New Roman"/>
      <w:smallCaps/>
      <w:spacing w:val="80"/>
      <w:sz w:val="28"/>
    </w:rPr>
  </w:style>
  <w:style w:type="paragraph" w:customStyle="1" w:styleId="InChapter">
    <w:name w:val="InChapter"/>
    <w:basedOn w:val="Heading3"/>
    <w:rsid w:val="00793EE0"/>
    <w:pPr>
      <w:spacing w:after="240"/>
      <w:outlineLvl w:val="9"/>
    </w:pPr>
    <w:rPr>
      <w:noProof/>
    </w:rPr>
  </w:style>
  <w:style w:type="paragraph" w:styleId="Index2">
    <w:name w:val="index 2"/>
    <w:basedOn w:val="Normal"/>
    <w:next w:val="Normal"/>
    <w:semiHidden/>
    <w:rsid w:val="00793EE0"/>
    <w:pPr>
      <w:tabs>
        <w:tab w:val="right" w:pos="4176"/>
      </w:tabs>
      <w:ind w:left="568" w:hanging="284"/>
    </w:pPr>
    <w:rPr>
      <w:rFonts w:ascii="Garamond" w:hAnsi="Garamond"/>
    </w:rPr>
  </w:style>
  <w:style w:type="paragraph" w:customStyle="1" w:styleId="Byline">
    <w:name w:val="Byline"/>
    <w:rsid w:val="00793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EE0"/>
    <w:pPr>
      <w:tabs>
        <w:tab w:val="clear" w:pos="3600"/>
        <w:tab w:val="clear" w:pos="3958"/>
      </w:tabs>
      <w:jc w:val="right"/>
    </w:pPr>
  </w:style>
  <w:style w:type="paragraph" w:styleId="Caption">
    <w:name w:val="caption"/>
    <w:basedOn w:val="BodyText"/>
    <w:next w:val="Normal"/>
    <w:qFormat/>
    <w:rsid w:val="00793EE0"/>
    <w:pPr>
      <w:framePr w:w="2268" w:hSpace="181" w:vSpace="181" w:wrap="around" w:vAnchor="text" w:hAnchor="page" w:x="1135" w:y="285" w:anchorLock="1"/>
    </w:pPr>
    <w:rPr>
      <w:i/>
    </w:rPr>
  </w:style>
  <w:style w:type="paragraph" w:customStyle="1" w:styleId="MiniTOCTitle">
    <w:name w:val="MiniTOCTitle"/>
    <w:basedOn w:val="Heading4"/>
    <w:rsid w:val="00793EE0"/>
    <w:pPr>
      <w:spacing w:before="240"/>
      <w:outlineLvl w:val="9"/>
    </w:pPr>
    <w:rPr>
      <w:noProof/>
      <w:sz w:val="24"/>
    </w:rPr>
  </w:style>
  <w:style w:type="paragraph" w:customStyle="1" w:styleId="MiniTOCItem">
    <w:name w:val="MiniTOCItem"/>
    <w:basedOn w:val="ListBullet"/>
    <w:rsid w:val="00793EE0"/>
    <w:pPr>
      <w:numPr>
        <w:numId w:val="0"/>
      </w:numPr>
      <w:tabs>
        <w:tab w:val="right" w:leader="dot" w:pos="6521"/>
      </w:tabs>
      <w:spacing w:before="0" w:after="0"/>
    </w:pPr>
  </w:style>
  <w:style w:type="paragraph" w:customStyle="1" w:styleId="TOFTitle">
    <w:name w:val="TOFTitle"/>
    <w:basedOn w:val="TOCTitle"/>
    <w:rsid w:val="00793EE0"/>
  </w:style>
  <w:style w:type="paragraph" w:styleId="TableofFigures">
    <w:name w:val="table of figures"/>
    <w:basedOn w:val="Normal"/>
    <w:next w:val="Normal"/>
    <w:semiHidden/>
    <w:rsid w:val="00793EE0"/>
    <w:pPr>
      <w:tabs>
        <w:tab w:val="right" w:leader="dot" w:pos="9072"/>
      </w:tabs>
      <w:ind w:left="970" w:hanging="403"/>
    </w:pPr>
    <w:rPr>
      <w:rFonts w:ascii="Times New Roman" w:hAnsi="Times New Roman"/>
      <w:b/>
    </w:rPr>
  </w:style>
  <w:style w:type="paragraph" w:styleId="ListNumber">
    <w:name w:val="List Number"/>
    <w:basedOn w:val="List"/>
    <w:rsid w:val="00793EE0"/>
    <w:pPr>
      <w:numPr>
        <w:numId w:val="15"/>
      </w:numPr>
      <w:tabs>
        <w:tab w:val="clear" w:pos="340"/>
      </w:tabs>
    </w:pPr>
  </w:style>
  <w:style w:type="character" w:customStyle="1" w:styleId="WingdingSymbols">
    <w:name w:val="Wingding Symbols"/>
    <w:rsid w:val="00793EE0"/>
    <w:rPr>
      <w:rFonts w:ascii="Wingdings" w:hAnsi="Wingdings"/>
    </w:rPr>
  </w:style>
  <w:style w:type="paragraph" w:customStyle="1" w:styleId="TableHeading">
    <w:name w:val="Table Heading"/>
    <w:basedOn w:val="HeadingBase"/>
    <w:rsid w:val="00793EE0"/>
    <w:pPr>
      <w:keepLines/>
      <w:pBdr>
        <w:bottom w:val="single" w:sz="6" w:space="1" w:color="918585"/>
      </w:pBdr>
      <w:spacing w:before="240"/>
    </w:pPr>
  </w:style>
  <w:style w:type="character" w:customStyle="1" w:styleId="HotSpot">
    <w:name w:val="HotSpot"/>
    <w:rsid w:val="00793EE0"/>
    <w:rPr>
      <w:color w:val="0033CC"/>
      <w:u w:val="none"/>
    </w:rPr>
  </w:style>
  <w:style w:type="paragraph" w:customStyle="1" w:styleId="BodyTextRight">
    <w:name w:val="Body Text Right"/>
    <w:basedOn w:val="BodyText"/>
    <w:rsid w:val="00793EE0"/>
    <w:pPr>
      <w:spacing w:before="0" w:after="0"/>
      <w:jc w:val="right"/>
    </w:pPr>
  </w:style>
  <w:style w:type="paragraph" w:styleId="Index3">
    <w:name w:val="index 3"/>
    <w:basedOn w:val="ListNumber2"/>
    <w:next w:val="Normal"/>
    <w:semiHidden/>
    <w:rsid w:val="00793EE0"/>
    <w:pPr>
      <w:numPr>
        <w:numId w:val="0"/>
      </w:numPr>
      <w:tabs>
        <w:tab w:val="right" w:leader="dot" w:pos="4176"/>
      </w:tabs>
    </w:pPr>
  </w:style>
  <w:style w:type="paragraph" w:styleId="ListNumber2">
    <w:name w:val="List Number 2"/>
    <w:basedOn w:val="List2"/>
    <w:rsid w:val="00793EE0"/>
    <w:pPr>
      <w:numPr>
        <w:numId w:val="10"/>
      </w:numPr>
      <w:tabs>
        <w:tab w:val="clear" w:pos="1060"/>
      </w:tabs>
    </w:pPr>
  </w:style>
  <w:style w:type="paragraph" w:customStyle="1" w:styleId="MarginNote">
    <w:name w:val="Margin Note"/>
    <w:basedOn w:val="BodyText"/>
    <w:rsid w:val="00793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EE0"/>
    <w:rPr>
      <w:sz w:val="32"/>
    </w:rPr>
  </w:style>
  <w:style w:type="paragraph" w:customStyle="1" w:styleId="HeadingProcedure">
    <w:name w:val="Heading Procedure"/>
    <w:basedOn w:val="HeadingBase"/>
    <w:next w:val="Normal"/>
    <w:rsid w:val="00793EE0"/>
    <w:pPr>
      <w:tabs>
        <w:tab w:val="left" w:pos="0"/>
      </w:tabs>
      <w:spacing w:before="120" w:after="60"/>
    </w:pPr>
    <w:rPr>
      <w:i/>
      <w:color w:val="918585"/>
      <w:sz w:val="22"/>
    </w:rPr>
  </w:style>
  <w:style w:type="paragraph" w:customStyle="1" w:styleId="TableBodyText">
    <w:name w:val="Table Body Text"/>
    <w:basedOn w:val="BodyText"/>
    <w:rsid w:val="00793EE0"/>
    <w:pPr>
      <w:spacing w:before="60" w:after="60"/>
    </w:pPr>
  </w:style>
  <w:style w:type="paragraph" w:styleId="ListContinue">
    <w:name w:val="List Continue"/>
    <w:basedOn w:val="List"/>
    <w:rsid w:val="00793EE0"/>
    <w:pPr>
      <w:ind w:firstLine="0"/>
    </w:pPr>
  </w:style>
  <w:style w:type="paragraph" w:customStyle="1" w:styleId="ListNote">
    <w:name w:val="List Note"/>
    <w:basedOn w:val="List"/>
    <w:rsid w:val="00793EE0"/>
    <w:pPr>
      <w:pBdr>
        <w:top w:val="single" w:sz="6" w:space="2" w:color="918585"/>
        <w:bottom w:val="single" w:sz="6" w:space="2" w:color="918585"/>
      </w:pBdr>
      <w:tabs>
        <w:tab w:val="left" w:pos="1021"/>
      </w:tabs>
      <w:ind w:firstLine="0"/>
    </w:pPr>
  </w:style>
  <w:style w:type="paragraph" w:customStyle="1" w:styleId="Warning">
    <w:name w:val="Warning"/>
    <w:basedOn w:val="BodyText"/>
    <w:rsid w:val="00793EE0"/>
    <w:pPr>
      <w:shd w:val="clear" w:color="auto" w:fill="D9D9D9"/>
      <w:tabs>
        <w:tab w:val="left" w:pos="992"/>
      </w:tabs>
      <w:ind w:left="119" w:right="119"/>
    </w:pPr>
    <w:rPr>
      <w:sz w:val="20"/>
    </w:rPr>
  </w:style>
  <w:style w:type="paragraph" w:customStyle="1" w:styleId="MarginIcons">
    <w:name w:val="Margin Icons"/>
    <w:basedOn w:val="BodyText"/>
    <w:rsid w:val="00793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EE0"/>
    <w:rPr>
      <w:rFonts w:ascii="Courier New" w:hAnsi="Courier New"/>
    </w:rPr>
  </w:style>
  <w:style w:type="paragraph" w:customStyle="1" w:styleId="NoteBullet">
    <w:name w:val="Note Bullet"/>
    <w:basedOn w:val="Note"/>
    <w:rsid w:val="00793EE0"/>
    <w:pPr>
      <w:tabs>
        <w:tab w:val="clear" w:pos="680"/>
      </w:tabs>
      <w:spacing w:before="60" w:after="60"/>
    </w:pPr>
  </w:style>
  <w:style w:type="paragraph" w:customStyle="1" w:styleId="SubHeading2">
    <w:name w:val="SubHeading2"/>
    <w:basedOn w:val="HeadingBase"/>
    <w:rsid w:val="00793EE0"/>
    <w:pPr>
      <w:spacing w:before="240" w:after="60"/>
    </w:pPr>
    <w:rPr>
      <w:sz w:val="20"/>
    </w:rPr>
  </w:style>
  <w:style w:type="paragraph" w:customStyle="1" w:styleId="SubHeading1">
    <w:name w:val="SubHeading1"/>
    <w:basedOn w:val="HeadingBase"/>
    <w:rsid w:val="00793EE0"/>
    <w:pPr>
      <w:spacing w:before="240" w:after="60"/>
    </w:pPr>
    <w:rPr>
      <w:color w:val="918585"/>
      <w:sz w:val="22"/>
    </w:rPr>
  </w:style>
  <w:style w:type="paragraph" w:customStyle="1" w:styleId="SideHeading">
    <w:name w:val="Side Heading"/>
    <w:basedOn w:val="HeadingBase"/>
    <w:rsid w:val="00793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EE0"/>
    <w:pPr>
      <w:tabs>
        <w:tab w:val="num" w:pos="360"/>
      </w:tabs>
    </w:pPr>
  </w:style>
  <w:style w:type="paragraph" w:styleId="PlainText">
    <w:name w:val="Plain Text"/>
    <w:basedOn w:val="Normal"/>
    <w:link w:val="PlainTextChar"/>
    <w:rsid w:val="00793EE0"/>
    <w:rPr>
      <w:sz w:val="20"/>
    </w:rPr>
  </w:style>
  <w:style w:type="character" w:customStyle="1" w:styleId="PlainTextChar">
    <w:name w:val="Plain Text Char"/>
    <w:basedOn w:val="DefaultParagraphFont"/>
    <w:link w:val="PlainText"/>
    <w:rsid w:val="00793EE0"/>
    <w:rPr>
      <w:rFonts w:ascii="Courier New" w:eastAsia="Times New Roman" w:hAnsi="Courier New" w:cs="Times New Roman"/>
      <w:sz w:val="20"/>
      <w:szCs w:val="20"/>
      <w:lang w:eastAsia="en-US"/>
    </w:rPr>
  </w:style>
  <w:style w:type="character" w:customStyle="1" w:styleId="MenuOption">
    <w:name w:val="Menu Option"/>
    <w:basedOn w:val="DefaultParagraphFont"/>
    <w:rsid w:val="00793EE0"/>
    <w:rPr>
      <w:b/>
      <w:smallCaps/>
    </w:rPr>
  </w:style>
  <w:style w:type="paragraph" w:customStyle="1" w:styleId="TableListNumber">
    <w:name w:val="Table List Number"/>
    <w:basedOn w:val="ListNumber"/>
    <w:rsid w:val="00793EE0"/>
    <w:pPr>
      <w:numPr>
        <w:numId w:val="0"/>
      </w:numPr>
    </w:pPr>
  </w:style>
  <w:style w:type="paragraph" w:styleId="TOC4">
    <w:name w:val="toc 4"/>
    <w:basedOn w:val="TOCBase"/>
    <w:next w:val="Normal"/>
    <w:semiHidden/>
    <w:rsid w:val="00793EE0"/>
    <w:pPr>
      <w:tabs>
        <w:tab w:val="right" w:leader="dot" w:pos="9071"/>
      </w:tabs>
      <w:ind w:left="1701"/>
    </w:pPr>
  </w:style>
  <w:style w:type="paragraph" w:customStyle="1" w:styleId="ListAlpha">
    <w:name w:val="List Alpha"/>
    <w:basedOn w:val="List"/>
    <w:rsid w:val="00793EE0"/>
    <w:pPr>
      <w:numPr>
        <w:numId w:val="9"/>
      </w:numPr>
    </w:pPr>
  </w:style>
  <w:style w:type="paragraph" w:customStyle="1" w:styleId="ListAlpha2">
    <w:name w:val="List Alpha 2"/>
    <w:basedOn w:val="List2"/>
    <w:rsid w:val="00793EE0"/>
    <w:pPr>
      <w:numPr>
        <w:numId w:val="8"/>
      </w:numPr>
    </w:pPr>
  </w:style>
  <w:style w:type="paragraph" w:styleId="List2">
    <w:name w:val="List 2"/>
    <w:basedOn w:val="BodyText"/>
    <w:rsid w:val="00793EE0"/>
    <w:pPr>
      <w:tabs>
        <w:tab w:val="left" w:pos="680"/>
      </w:tabs>
      <w:spacing w:before="60" w:after="60"/>
      <w:ind w:left="680" w:hanging="340"/>
    </w:pPr>
  </w:style>
  <w:style w:type="paragraph" w:styleId="List3">
    <w:name w:val="List 3"/>
    <w:basedOn w:val="BodyText"/>
    <w:rsid w:val="00793EE0"/>
    <w:pPr>
      <w:tabs>
        <w:tab w:val="left" w:pos="1021"/>
      </w:tabs>
      <w:spacing w:before="60" w:after="60"/>
      <w:ind w:left="1020" w:hanging="340"/>
    </w:pPr>
  </w:style>
  <w:style w:type="paragraph" w:styleId="List4">
    <w:name w:val="List 4"/>
    <w:basedOn w:val="BodyText"/>
    <w:rsid w:val="00793EE0"/>
    <w:pPr>
      <w:tabs>
        <w:tab w:val="left" w:pos="1361"/>
      </w:tabs>
      <w:spacing w:before="60" w:after="60"/>
      <w:ind w:left="1361" w:hanging="340"/>
    </w:pPr>
  </w:style>
  <w:style w:type="paragraph" w:styleId="List5">
    <w:name w:val="List 5"/>
    <w:basedOn w:val="BodyText"/>
    <w:rsid w:val="00793EE0"/>
    <w:pPr>
      <w:tabs>
        <w:tab w:val="left" w:pos="1701"/>
      </w:tabs>
      <w:spacing w:before="60" w:after="60"/>
      <w:ind w:left="1701" w:hanging="340"/>
    </w:pPr>
  </w:style>
  <w:style w:type="paragraph" w:styleId="ListBullet3">
    <w:name w:val="List Bullet 3"/>
    <w:basedOn w:val="List3"/>
    <w:rsid w:val="00793EE0"/>
    <w:pPr>
      <w:numPr>
        <w:numId w:val="14"/>
      </w:numPr>
      <w:tabs>
        <w:tab w:val="clear" w:pos="1021"/>
      </w:tabs>
      <w:ind w:left="1037" w:hanging="357"/>
    </w:pPr>
  </w:style>
  <w:style w:type="paragraph" w:styleId="ListBullet4">
    <w:name w:val="List Bullet 4"/>
    <w:basedOn w:val="List4"/>
    <w:rsid w:val="00793EE0"/>
    <w:pPr>
      <w:numPr>
        <w:numId w:val="3"/>
      </w:numPr>
      <w:tabs>
        <w:tab w:val="clear" w:pos="1361"/>
      </w:tabs>
    </w:pPr>
  </w:style>
  <w:style w:type="paragraph" w:styleId="ListBullet5">
    <w:name w:val="List Bullet 5"/>
    <w:basedOn w:val="List5"/>
    <w:rsid w:val="00793EE0"/>
    <w:pPr>
      <w:numPr>
        <w:numId w:val="4"/>
      </w:numPr>
    </w:pPr>
  </w:style>
  <w:style w:type="paragraph" w:styleId="ListContinue2">
    <w:name w:val="List Continue 2"/>
    <w:basedOn w:val="List2"/>
    <w:rsid w:val="00793EE0"/>
    <w:pPr>
      <w:ind w:firstLine="0"/>
    </w:pPr>
  </w:style>
  <w:style w:type="paragraph" w:styleId="ListContinue3">
    <w:name w:val="List Continue 3"/>
    <w:basedOn w:val="List3"/>
    <w:rsid w:val="00793EE0"/>
    <w:pPr>
      <w:ind w:left="1021" w:firstLine="0"/>
    </w:pPr>
  </w:style>
  <w:style w:type="paragraph" w:styleId="ListContinue4">
    <w:name w:val="List Continue 4"/>
    <w:basedOn w:val="List4"/>
    <w:rsid w:val="00793EE0"/>
    <w:pPr>
      <w:ind w:firstLine="0"/>
    </w:pPr>
  </w:style>
  <w:style w:type="paragraph" w:styleId="ListContinue5">
    <w:name w:val="List Continue 5"/>
    <w:basedOn w:val="List5"/>
    <w:rsid w:val="00793EE0"/>
    <w:pPr>
      <w:ind w:firstLine="0"/>
    </w:pPr>
  </w:style>
  <w:style w:type="paragraph" w:styleId="ListNumber3">
    <w:name w:val="List Number 3"/>
    <w:basedOn w:val="List3"/>
    <w:rsid w:val="00793EE0"/>
    <w:pPr>
      <w:numPr>
        <w:numId w:val="5"/>
      </w:numPr>
    </w:pPr>
  </w:style>
  <w:style w:type="paragraph" w:styleId="ListNumber4">
    <w:name w:val="List Number 4"/>
    <w:basedOn w:val="List4"/>
    <w:rsid w:val="00793EE0"/>
    <w:pPr>
      <w:numPr>
        <w:numId w:val="6"/>
      </w:numPr>
    </w:pPr>
  </w:style>
  <w:style w:type="paragraph" w:styleId="ListNumber5">
    <w:name w:val="List Number 5"/>
    <w:basedOn w:val="List5"/>
    <w:rsid w:val="00793EE0"/>
    <w:pPr>
      <w:numPr>
        <w:numId w:val="7"/>
      </w:numPr>
    </w:pPr>
  </w:style>
  <w:style w:type="paragraph" w:styleId="BlockText">
    <w:name w:val="Block Text"/>
    <w:basedOn w:val="Normal"/>
    <w:rsid w:val="00793EE0"/>
    <w:pPr>
      <w:spacing w:after="120"/>
      <w:ind w:left="1440" w:right="1440"/>
    </w:pPr>
  </w:style>
  <w:style w:type="character" w:customStyle="1" w:styleId="Subscript">
    <w:name w:val="Subscript"/>
    <w:basedOn w:val="DefaultParagraphFont"/>
    <w:rsid w:val="00793EE0"/>
    <w:rPr>
      <w:sz w:val="16"/>
      <w:vertAlign w:val="subscript"/>
    </w:rPr>
  </w:style>
  <w:style w:type="character" w:customStyle="1" w:styleId="Superscript">
    <w:name w:val="Superscript"/>
    <w:basedOn w:val="DefaultParagraphFont"/>
    <w:rsid w:val="00793EE0"/>
    <w:rPr>
      <w:sz w:val="16"/>
      <w:vertAlign w:val="superscript"/>
    </w:rPr>
  </w:style>
  <w:style w:type="character" w:customStyle="1" w:styleId="Symbols">
    <w:name w:val="Symbols"/>
    <w:basedOn w:val="DefaultParagraphFont"/>
    <w:rsid w:val="00793EE0"/>
    <w:rPr>
      <w:rFonts w:ascii="Symbol" w:hAnsi="Symbol"/>
    </w:rPr>
  </w:style>
  <w:style w:type="character" w:customStyle="1" w:styleId="MenuOptions">
    <w:name w:val="Menu Options"/>
    <w:basedOn w:val="DefaultParagraphFont"/>
    <w:rsid w:val="00793EE0"/>
    <w:rPr>
      <w:rFonts w:ascii="Arial Narrow" w:hAnsi="Arial Narrow"/>
      <w:smallCaps/>
    </w:rPr>
  </w:style>
  <w:style w:type="character" w:customStyle="1" w:styleId="Buttons">
    <w:name w:val="Buttons"/>
    <w:basedOn w:val="DefaultParagraphFont"/>
    <w:rsid w:val="00793EE0"/>
    <w:rPr>
      <w:b/>
    </w:rPr>
  </w:style>
  <w:style w:type="character" w:customStyle="1" w:styleId="Underlined">
    <w:name w:val="Underlined"/>
    <w:basedOn w:val="DefaultParagraphFont"/>
    <w:rsid w:val="00793EE0"/>
    <w:rPr>
      <w:u w:val="single"/>
    </w:rPr>
  </w:style>
  <w:style w:type="paragraph" w:customStyle="1" w:styleId="TableBodyTextRight">
    <w:name w:val="Table Body Text Right"/>
    <w:basedOn w:val="TableBodyText"/>
    <w:rsid w:val="00793EE0"/>
    <w:pPr>
      <w:widowControl w:val="0"/>
      <w:autoSpaceDE w:val="0"/>
      <w:autoSpaceDN w:val="0"/>
      <w:adjustRightInd w:val="0"/>
      <w:jc w:val="right"/>
    </w:pPr>
    <w:rPr>
      <w:rFonts w:cs="Arial"/>
      <w:szCs w:val="18"/>
    </w:rPr>
  </w:style>
  <w:style w:type="paragraph" w:customStyle="1" w:styleId="CopyrightText">
    <w:name w:val="Copyright Text"/>
    <w:basedOn w:val="BodyText"/>
    <w:rsid w:val="00793EE0"/>
    <w:rPr>
      <w:sz w:val="18"/>
    </w:rPr>
  </w:style>
  <w:style w:type="paragraph" w:customStyle="1" w:styleId="BodySmallRight">
    <w:name w:val="Body Small Right"/>
    <w:basedOn w:val="BodyTextRight"/>
    <w:rsid w:val="00793EE0"/>
    <w:rPr>
      <w:sz w:val="18"/>
      <w:szCs w:val="18"/>
    </w:rPr>
  </w:style>
  <w:style w:type="paragraph" w:customStyle="1" w:styleId="MarginEdition">
    <w:name w:val="Margin Edition"/>
    <w:basedOn w:val="MarginNote"/>
    <w:rsid w:val="00793EE0"/>
    <w:pPr>
      <w:spacing w:before="0" w:after="0"/>
    </w:pPr>
    <w:rPr>
      <w:rFonts w:ascii="Times New Roman" w:hAnsi="Times New Roman"/>
      <w:color w:val="999999"/>
    </w:rPr>
  </w:style>
  <w:style w:type="paragraph" w:customStyle="1" w:styleId="Spacer">
    <w:name w:val="Spacer"/>
    <w:basedOn w:val="Normal"/>
    <w:rsid w:val="00793EE0"/>
    <w:rPr>
      <w:sz w:val="2"/>
      <w:szCs w:val="2"/>
    </w:rPr>
  </w:style>
  <w:style w:type="character" w:customStyle="1" w:styleId="Small">
    <w:name w:val="Small"/>
    <w:basedOn w:val="DefaultParagraphFont"/>
    <w:rsid w:val="00793EE0"/>
    <w:rPr>
      <w:sz w:val="16"/>
    </w:rPr>
  </w:style>
  <w:style w:type="paragraph" w:customStyle="1" w:styleId="WideTable">
    <w:name w:val="Wide Table"/>
    <w:basedOn w:val="Normal"/>
    <w:rsid w:val="00793EE0"/>
    <w:pPr>
      <w:ind w:left="-1418"/>
    </w:pPr>
    <w:rPr>
      <w:sz w:val="2"/>
      <w:szCs w:val="2"/>
    </w:rPr>
  </w:style>
  <w:style w:type="character" w:styleId="PageNumber">
    <w:name w:val="page number"/>
    <w:basedOn w:val="DefaultParagraphFont"/>
    <w:rsid w:val="00793EE0"/>
  </w:style>
  <w:style w:type="paragraph" w:styleId="Quote">
    <w:name w:val="Quote"/>
    <w:basedOn w:val="Heading1"/>
    <w:link w:val="QuoteChar"/>
    <w:qFormat/>
    <w:rsid w:val="00793EE0"/>
    <w:rPr>
      <w:b w:val="0"/>
      <w:sz w:val="72"/>
      <w:szCs w:val="72"/>
      <w:lang w:val="en-NZ"/>
    </w:rPr>
  </w:style>
  <w:style w:type="character" w:customStyle="1" w:styleId="QuoteChar">
    <w:name w:val="Quote Char"/>
    <w:basedOn w:val="DefaultParagraphFont"/>
    <w:link w:val="Quote"/>
    <w:rsid w:val="00793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EE0"/>
    <w:pPr>
      <w:pageBreakBefore/>
    </w:pPr>
  </w:style>
  <w:style w:type="paragraph" w:customStyle="1" w:styleId="Border">
    <w:name w:val="Border"/>
    <w:basedOn w:val="Normal"/>
    <w:qFormat/>
    <w:rsid w:val="00793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EE0"/>
    <w:rPr>
      <w:b/>
      <w:bCs/>
      <w:i/>
      <w:iCs/>
      <w:color w:val="auto"/>
    </w:rPr>
  </w:style>
  <w:style w:type="paragraph" w:styleId="IntenseQuote">
    <w:name w:val="Intense Quote"/>
    <w:basedOn w:val="Normal"/>
    <w:next w:val="Normal"/>
    <w:link w:val="IntenseQuoteChar"/>
    <w:uiPriority w:val="30"/>
    <w:qFormat/>
    <w:rsid w:val="00793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EE0"/>
    <w:rPr>
      <w:smallCaps/>
      <w:color w:val="auto"/>
      <w:u w:val="single"/>
    </w:rPr>
  </w:style>
  <w:style w:type="character" w:styleId="IntenseReference">
    <w:name w:val="Intense Reference"/>
    <w:basedOn w:val="DefaultParagraphFont"/>
    <w:uiPriority w:val="32"/>
    <w:qFormat/>
    <w:rsid w:val="00793EE0"/>
    <w:rPr>
      <w:b/>
      <w:bCs/>
      <w:smallCaps/>
      <w:color w:val="auto"/>
      <w:spacing w:val="5"/>
      <w:u w:val="single"/>
    </w:rPr>
  </w:style>
  <w:style w:type="paragraph" w:customStyle="1" w:styleId="2ColumnHeading">
    <w:name w:val="2Column Heading"/>
    <w:basedOn w:val="BodyText"/>
    <w:qFormat/>
    <w:rsid w:val="00793EE0"/>
    <w:pPr>
      <w:spacing w:after="60"/>
      <w:ind w:left="-2268"/>
    </w:pPr>
    <w:rPr>
      <w:b/>
    </w:rPr>
  </w:style>
  <w:style w:type="paragraph" w:customStyle="1" w:styleId="Heading1TOC">
    <w:name w:val="Heading1 TOC"/>
    <w:basedOn w:val="Normal"/>
    <w:qFormat/>
    <w:rsid w:val="00793EE0"/>
    <w:pPr>
      <w:spacing w:before="240" w:after="120"/>
    </w:pPr>
    <w:rPr>
      <w:rFonts w:ascii="Times New Roman" w:hAnsi="Times New Roman"/>
      <w:b/>
      <w:sz w:val="32"/>
    </w:rPr>
  </w:style>
  <w:style w:type="paragraph" w:customStyle="1" w:styleId="Heading2TOC">
    <w:name w:val="Heading2 TOC"/>
    <w:basedOn w:val="Normal"/>
    <w:qFormat/>
    <w:rsid w:val="00793EE0"/>
    <w:pPr>
      <w:spacing w:before="240" w:after="60"/>
    </w:pPr>
    <w:rPr>
      <w:rFonts w:ascii="Times New Roman" w:hAnsi="Times New Roman"/>
      <w:b/>
      <w:sz w:val="28"/>
    </w:rPr>
  </w:style>
  <w:style w:type="character" w:customStyle="1" w:styleId="Underline">
    <w:name w:val="Underline"/>
    <w:basedOn w:val="DefaultParagraphFont"/>
    <w:qFormat/>
    <w:rsid w:val="00793EE0"/>
    <w:rPr>
      <w:u w:val="single"/>
    </w:rPr>
  </w:style>
  <w:style w:type="character" w:customStyle="1" w:styleId="BoldandItalics">
    <w:name w:val="Bold and Italics"/>
    <w:qFormat/>
    <w:rsid w:val="00793EE0"/>
    <w:rPr>
      <w:b/>
      <w:i/>
      <w:u w:val="none"/>
    </w:rPr>
  </w:style>
  <w:style w:type="paragraph" w:styleId="BalloonText">
    <w:name w:val="Balloon Text"/>
    <w:basedOn w:val="Normal"/>
    <w:link w:val="BalloonTextChar"/>
    <w:rsid w:val="00793EE0"/>
    <w:rPr>
      <w:rFonts w:ascii="Tahoma" w:hAnsi="Tahoma" w:cs="Tahoma"/>
      <w:sz w:val="16"/>
      <w:szCs w:val="16"/>
    </w:rPr>
  </w:style>
  <w:style w:type="character" w:customStyle="1" w:styleId="BalloonTextChar">
    <w:name w:val="Balloon Text Char"/>
    <w:basedOn w:val="DefaultParagraphFont"/>
    <w:link w:val="BalloonText"/>
    <w:rsid w:val="00793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EE0"/>
    <w:rPr>
      <w:b/>
      <w:color w:val="660033"/>
      <w:spacing w:val="0"/>
    </w:rPr>
  </w:style>
  <w:style w:type="paragraph" w:customStyle="1" w:styleId="Nameditemlist">
    <w:name w:val="Named item list"/>
    <w:basedOn w:val="BodyText"/>
    <w:qFormat/>
    <w:rsid w:val="00793EE0"/>
    <w:pPr>
      <w:tabs>
        <w:tab w:val="left" w:pos="2835"/>
      </w:tabs>
      <w:ind w:left="2835" w:hanging="2835"/>
    </w:pPr>
  </w:style>
  <w:style w:type="paragraph" w:customStyle="1" w:styleId="BodyTextnopadding">
    <w:name w:val="Body Text no padding"/>
    <w:basedOn w:val="BodyText"/>
    <w:qFormat/>
    <w:rsid w:val="00793EE0"/>
    <w:pPr>
      <w:spacing w:before="0" w:after="0"/>
    </w:pPr>
  </w:style>
  <w:style w:type="paragraph" w:customStyle="1" w:styleId="BodyTextBold">
    <w:name w:val="Body Text Bold"/>
    <w:basedOn w:val="BodyText"/>
    <w:qFormat/>
    <w:rsid w:val="00793EE0"/>
    <w:rPr>
      <w:b/>
    </w:rPr>
  </w:style>
  <w:style w:type="character" w:styleId="Hyperlink">
    <w:name w:val="Hyperlink"/>
    <w:basedOn w:val="DefaultParagraphFont"/>
    <w:uiPriority w:val="99"/>
    <w:unhideWhenUsed/>
    <w:rsid w:val="00487D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1015</Words>
  <Characters>6450</Characters>
  <Application>Microsoft Office Word</Application>
  <DocSecurity>0</DocSecurity>
  <Lines>230</Lines>
  <Paragraphs>122</Paragraphs>
  <ScaleCrop>false</ScaleCrop>
  <Company>Author-it Software Corporation Ltd.</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CPCCDE4002 Plan demolition work to minimise risk to health, safety and environment</dc:title>
  <dc:subject>Approved</dc:subject>
  <dc:creator>BuildSkills Australia</dc:creator>
  <cp:keywords>Release: 2</cp:keywords>
  <dc:description>Review Date: 12 April 2008</dc:description>
  <cp:lastModifiedBy>HSD_TPCMSd.prod</cp:lastModifiedBy>
  <cp:revision>3</cp:revision>
  <dcterms:created xsi:type="dcterms:W3CDTF">2025-03-01T12:04:00Z</dcterms:created>
  <dcterms:modified xsi:type="dcterms:W3CDTF">2025-03-01T12:05:00Z</dcterms:modified>
</cp:coreProperties>
</file>