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197" w:rsidP="00B77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CPCCDE3027 Read and interpret demolition site plans and drawings</w:t>
      </w:r>
      <w:r>
        <w:fldChar w:fldCharType="end"/>
      </w:r>
    </w:p>
    <w:p w:rsidR="00B77197" w:rsidP="00B77197">
      <w:pPr>
        <w:pStyle w:val="Version"/>
        <w:sectPr w:rsidSect="006E4C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4CC5" w:rsidP="006E4CC5">
      <w:pPr>
        <w:pStyle w:val="SuperHeading"/>
      </w:pPr>
      <w:r w:rsidRPr="006E4CC5">
        <w:t>Assessment Requirements for CPCCDE3027 Read and interpret demolition site plans and drawings</w:t>
      </w:r>
    </w:p>
    <w:p w:rsidR="00000000" w:rsidRPr="006E4CC5" w:rsidP="006E4CC5">
      <w:pPr>
        <w:pStyle w:val="Heading1"/>
      </w:pPr>
      <w:bookmarkStart w:id="1" w:name="O_1294634"/>
      <w:bookmarkEnd w:id="1"/>
      <w:r w:rsidRPr="006E4C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E4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CC5">
            <w:pPr>
              <w:pStyle w:val="BodyText"/>
              <w:rPr>
                <w:lang w:val="en-NZ"/>
              </w:rPr>
            </w:pPr>
            <w:r w:rsidRPr="006E4CC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CC5">
            <w:pPr>
              <w:pStyle w:val="BodyText"/>
              <w:rPr>
                <w:lang w:val="en-NZ"/>
              </w:rPr>
            </w:pPr>
            <w:r w:rsidRPr="006E4CC5">
              <w:t>Updated reference to general construction induction training program.</w:t>
            </w:r>
          </w:p>
        </w:tc>
      </w:tr>
      <w:tr w:rsidTr="006E4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CC5">
            <w:pPr>
              <w:pStyle w:val="BodyText"/>
              <w:rPr>
                <w:lang w:val="en-NZ"/>
              </w:rPr>
            </w:pPr>
            <w:r w:rsidRPr="006E4CC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CC5" w:rsidP="006E4CC5">
            <w:pPr>
              <w:pStyle w:val="BodyText"/>
            </w:pPr>
            <w:r w:rsidRPr="006E4CC5">
              <w:t>This version first released with CPC Construction, Plumbing and Services Training Package Release 5.0.</w:t>
            </w:r>
          </w:p>
          <w:p w:rsidR="00000000" w:rsidRPr="006E4CC5" w:rsidP="006E4CC5">
            <w:pPr>
              <w:pStyle w:val="BodyText"/>
            </w:pPr>
            <w:r w:rsidRPr="006E4CC5">
              <w:t>New unt</w:t>
            </w:r>
          </w:p>
        </w:tc>
      </w:tr>
    </w:tbl>
    <w:p w:rsidR="00000000" w:rsidRPr="006E4CC5" w:rsidP="006E4CC5">
      <w:pPr>
        <w:pStyle w:val="BodyText"/>
      </w:pPr>
    </w:p>
    <w:p w:rsidR="00000000" w:rsidRPr="006E4CC5" w:rsidP="006E4CC5">
      <w:pPr>
        <w:pStyle w:val="AllowPageBreak"/>
      </w:pPr>
    </w:p>
    <w:p w:rsidR="00000000" w:rsidRPr="006E4CC5" w:rsidP="006E4CC5">
      <w:pPr>
        <w:pStyle w:val="Heading1"/>
      </w:pPr>
      <w:bookmarkStart w:id="2" w:name="O_1294633"/>
      <w:bookmarkEnd w:id="2"/>
      <w:r w:rsidRPr="006E4CC5">
        <w:t>Performance Evidence</w:t>
      </w:r>
    </w:p>
    <w:p w:rsidR="00000000" w:rsidRPr="006E4CC5" w:rsidP="00B77197">
      <w:pPr>
        <w:pStyle w:val="BodyText"/>
      </w:pPr>
      <w:r w:rsidRPr="006E4CC5">
        <w:t xml:space="preserve">A candidate who demonstrates competency in this unit must read and interpret two different residential </w:t>
      </w:r>
      <w:r w:rsidRPr="006E4CC5">
        <w:t>demolition site plans and two different commercial demolition site plans.</w:t>
      </w:r>
    </w:p>
    <w:p w:rsidR="00000000" w:rsidRPr="006E4CC5" w:rsidP="00B77197">
      <w:pPr>
        <w:pStyle w:val="BodyText"/>
      </w:pPr>
      <w:r w:rsidRPr="006E4CC5">
        <w:t>In doing this, the candidate must meet the requirements of the performance criteria.</w:t>
      </w:r>
    </w:p>
    <w:p w:rsidR="00000000" w:rsidRPr="006E4CC5" w:rsidP="006E4CC5">
      <w:pPr>
        <w:pStyle w:val="Heading1"/>
      </w:pPr>
      <w:bookmarkStart w:id="3" w:name="O_1294632"/>
      <w:bookmarkEnd w:id="3"/>
      <w:r w:rsidRPr="006E4CC5">
        <w:t>Knowledge Evidence</w:t>
      </w:r>
    </w:p>
    <w:p w:rsidR="00000000" w:rsidRPr="006E4CC5" w:rsidP="00B77197">
      <w:pPr>
        <w:pStyle w:val="BodyText"/>
      </w:pPr>
      <w:r w:rsidRPr="006E4CC5">
        <w:t xml:space="preserve">To be competent in this unit, a candidate must demonstrate </w:t>
      </w:r>
      <w:r w:rsidRPr="006E4CC5">
        <w:t>knowledge of:</w:t>
      </w:r>
    </w:p>
    <w:p w:rsidR="00000000" w:rsidRPr="006E4CC5" w:rsidP="006E4CC5">
      <w:pPr>
        <w:pStyle w:val="ListBullet"/>
      </w:pPr>
      <w:r w:rsidRPr="006E4CC5">
        <w:t xml:space="preserve">compliance requirements of the relevant Australian Standards, Building Code of Australia (BCA), model codes of practice, environmental and work health and safety (WHS) legislation </w:t>
      </w:r>
    </w:p>
    <w:p w:rsidR="00000000" w:rsidRPr="006E4CC5" w:rsidP="006E4CC5">
      <w:pPr>
        <w:pStyle w:val="ListBullet"/>
      </w:pPr>
      <w:r w:rsidRPr="006E4CC5">
        <w:t>features and functions of different types of demolition site plans:</w:t>
      </w:r>
    </w:p>
    <w:p w:rsidR="00000000" w:rsidRPr="006E4CC5" w:rsidP="006E4CC5">
      <w:pPr>
        <w:pStyle w:val="ListBullet2"/>
      </w:pPr>
      <w:r w:rsidRPr="006E4CC5">
        <w:t>drawings</w:t>
      </w:r>
    </w:p>
    <w:p w:rsidR="00000000" w:rsidRPr="006E4CC5" w:rsidP="006E4CC5">
      <w:pPr>
        <w:pStyle w:val="ListBullet2"/>
      </w:pPr>
      <w:r w:rsidRPr="006E4CC5">
        <w:t>cross-sectional plans</w:t>
      </w:r>
    </w:p>
    <w:p w:rsidR="00000000" w:rsidRPr="006E4CC5" w:rsidP="006E4CC5">
      <w:pPr>
        <w:pStyle w:val="ListBullet2"/>
      </w:pPr>
      <w:r w:rsidRPr="006E4CC5">
        <w:t>demolition work method statement</w:t>
      </w:r>
    </w:p>
    <w:p w:rsidR="00000000" w:rsidRPr="006E4CC5" w:rsidP="006E4CC5">
      <w:pPr>
        <w:pStyle w:val="ListBullet2"/>
      </w:pPr>
      <w:r w:rsidRPr="006E4CC5">
        <w:t xml:space="preserve">demolition management plan </w:t>
      </w:r>
    </w:p>
    <w:p w:rsidR="00000000" w:rsidRPr="006E4CC5" w:rsidP="006E4CC5">
      <w:pPr>
        <w:pStyle w:val="ListBullet2"/>
      </w:pPr>
      <w:r w:rsidRPr="006E4CC5">
        <w:t>traffic management plan</w:t>
      </w:r>
    </w:p>
    <w:p w:rsidR="00000000" w:rsidRPr="006E4CC5" w:rsidP="006E4CC5">
      <w:pPr>
        <w:pStyle w:val="ListBullet2"/>
      </w:pPr>
      <w:r w:rsidRPr="006E4CC5">
        <w:t>dilapidation report</w:t>
      </w:r>
    </w:p>
    <w:p w:rsidR="00000000" w:rsidRPr="006E4CC5" w:rsidP="006E4CC5">
      <w:pPr>
        <w:pStyle w:val="ListBullet2"/>
      </w:pPr>
      <w:r w:rsidRPr="006E4CC5">
        <w:t xml:space="preserve">hazardous materials audit </w:t>
      </w:r>
    </w:p>
    <w:p w:rsidR="00000000" w:rsidRPr="006E4CC5" w:rsidP="006E4CC5">
      <w:pPr>
        <w:pStyle w:val="ListBullet2"/>
      </w:pPr>
      <w:r w:rsidRPr="006E4CC5">
        <w:t xml:space="preserve">engineering reports and </w:t>
      </w:r>
      <w:r w:rsidRPr="006E4CC5">
        <w:t xml:space="preserve">assessments </w:t>
      </w:r>
    </w:p>
    <w:p w:rsidR="00000000" w:rsidRPr="006E4CC5" w:rsidP="006E4CC5">
      <w:pPr>
        <w:pStyle w:val="ListBullet2"/>
      </w:pPr>
      <w:r w:rsidRPr="006E4CC5">
        <w:t>demolition site instructions</w:t>
      </w:r>
    </w:p>
    <w:p w:rsidR="00000000" w:rsidRPr="006E4CC5" w:rsidP="006E4CC5">
      <w:pPr>
        <w:pStyle w:val="ListBullet2"/>
      </w:pPr>
      <w:r w:rsidRPr="006E4CC5">
        <w:t>demolition project specifications</w:t>
      </w:r>
    </w:p>
    <w:p w:rsidR="00000000" w:rsidRPr="006E4CC5" w:rsidP="006E4CC5">
      <w:pPr>
        <w:pStyle w:val="ListBullet2"/>
      </w:pPr>
      <w:r w:rsidRPr="006E4CC5">
        <w:t>structural detail and specification providing illustrations and dimensions</w:t>
      </w:r>
    </w:p>
    <w:p w:rsidR="00000000" w:rsidRPr="006E4CC5" w:rsidP="006E4CC5">
      <w:pPr>
        <w:pStyle w:val="ListBullet2"/>
      </w:pPr>
      <w:r w:rsidRPr="006E4CC5">
        <w:t xml:space="preserve">legends, symbols and abbreviations used on demolition work plans </w:t>
      </w:r>
    </w:p>
    <w:p w:rsidR="00000000" w:rsidRPr="006E4CC5" w:rsidP="006E4CC5">
      <w:pPr>
        <w:pStyle w:val="ListBullet"/>
      </w:pPr>
      <w:r w:rsidRPr="006E4CC5">
        <w:t>processes for:</w:t>
      </w:r>
    </w:p>
    <w:p w:rsidR="00000000" w:rsidRPr="006E4CC5" w:rsidP="006E4CC5">
      <w:pPr>
        <w:pStyle w:val="ListBullet2"/>
      </w:pPr>
      <w:r w:rsidRPr="006E4CC5">
        <w:t xml:space="preserve">checking amendments to plans </w:t>
      </w:r>
    </w:p>
    <w:p w:rsidR="00000000" w:rsidRPr="006E4CC5" w:rsidP="006E4CC5">
      <w:pPr>
        <w:pStyle w:val="ListBullet2"/>
      </w:pPr>
      <w:r w:rsidRPr="006E4CC5">
        <w:t>orientating demolition site plans against sites</w:t>
      </w:r>
    </w:p>
    <w:p w:rsidR="00000000" w:rsidRPr="006E4CC5" w:rsidP="006E4CC5">
      <w:pPr>
        <w:pStyle w:val="ListBullet2"/>
      </w:pPr>
      <w:r w:rsidRPr="006E4CC5">
        <w:t>locating site demolition locations from site plans</w:t>
      </w:r>
    </w:p>
    <w:p w:rsidR="00000000" w:rsidRPr="006E4CC5" w:rsidP="006E4CC5">
      <w:pPr>
        <w:pStyle w:val="ListBullet"/>
      </w:pPr>
      <w:r w:rsidRPr="006E4CC5">
        <w:t>key features of demolition site plans:</w:t>
      </w:r>
    </w:p>
    <w:p w:rsidR="00000000" w:rsidRPr="006E4CC5" w:rsidP="006E4CC5">
      <w:pPr>
        <w:pStyle w:val="ListBullet2"/>
      </w:pPr>
      <w:r w:rsidRPr="006E4CC5">
        <w:t>characteristics</w:t>
      </w:r>
    </w:p>
    <w:p w:rsidR="00000000" w:rsidRPr="006E4CC5" w:rsidP="006E4CC5">
      <w:pPr>
        <w:pStyle w:val="ListBullet2"/>
      </w:pPr>
      <w:r w:rsidRPr="006E4CC5">
        <w:t>compatibility</w:t>
      </w:r>
    </w:p>
    <w:p w:rsidR="00000000" w:rsidRPr="006E4CC5" w:rsidP="006E4CC5">
      <w:pPr>
        <w:pStyle w:val="ListBullet2"/>
      </w:pPr>
      <w:r w:rsidRPr="006E4CC5">
        <w:t>construction</w:t>
      </w:r>
    </w:p>
    <w:p w:rsidR="00000000" w:rsidRPr="006E4CC5" w:rsidP="006E4CC5">
      <w:pPr>
        <w:pStyle w:val="ListBullet2"/>
      </w:pPr>
      <w:r w:rsidRPr="006E4CC5">
        <w:t>location</w:t>
      </w:r>
    </w:p>
    <w:p w:rsidR="00000000" w:rsidRPr="006E4CC5" w:rsidP="006E4CC5">
      <w:pPr>
        <w:pStyle w:val="ListBullet2"/>
      </w:pPr>
      <w:r w:rsidRPr="006E4CC5">
        <w:t>pattern dimension</w:t>
      </w:r>
    </w:p>
    <w:p w:rsidR="00000000" w:rsidRPr="006E4CC5" w:rsidP="006E4CC5">
      <w:pPr>
        <w:pStyle w:val="ListBullet2"/>
      </w:pPr>
      <w:r w:rsidRPr="006E4CC5">
        <w:t>quantities</w:t>
      </w:r>
    </w:p>
    <w:p w:rsidR="00000000" w:rsidRPr="006E4CC5" w:rsidP="006E4CC5">
      <w:pPr>
        <w:pStyle w:val="ListBullet2"/>
      </w:pPr>
      <w:r w:rsidRPr="006E4CC5">
        <w:t>sizes</w:t>
      </w:r>
    </w:p>
    <w:p w:rsidR="00000000" w:rsidRPr="006E4CC5" w:rsidP="006E4CC5">
      <w:pPr>
        <w:pStyle w:val="ListBullet"/>
      </w:pPr>
      <w:r w:rsidRPr="006E4CC5">
        <w:t>environmental requirements:</w:t>
      </w:r>
    </w:p>
    <w:p w:rsidR="00000000" w:rsidRPr="006E4CC5" w:rsidP="006E4CC5">
      <w:pPr>
        <w:pStyle w:val="ListBullet2"/>
      </w:pPr>
      <w:r w:rsidRPr="006E4CC5">
        <w:t>clean-up management</w:t>
      </w:r>
    </w:p>
    <w:p w:rsidR="00000000" w:rsidRPr="006E4CC5" w:rsidP="006E4CC5">
      <w:pPr>
        <w:pStyle w:val="ListBullet2"/>
      </w:pPr>
      <w:r w:rsidRPr="006E4CC5">
        <w:t>waste management</w:t>
      </w:r>
    </w:p>
    <w:p w:rsidR="00000000" w:rsidRPr="006E4CC5" w:rsidP="006E4CC5">
      <w:pPr>
        <w:pStyle w:val="ListBullet2"/>
      </w:pPr>
      <w:r w:rsidRPr="006E4CC5">
        <w:t>hazardous materials</w:t>
      </w:r>
    </w:p>
    <w:p w:rsidR="00000000" w:rsidRPr="006E4CC5" w:rsidP="006E4CC5">
      <w:pPr>
        <w:pStyle w:val="ListBullet"/>
      </w:pPr>
      <w:r w:rsidRPr="006E4CC5">
        <w:t>key features of specifications:</w:t>
      </w:r>
    </w:p>
    <w:p w:rsidR="00000000" w:rsidRPr="006E4CC5" w:rsidP="006E4CC5">
      <w:pPr>
        <w:pStyle w:val="ListBullet2"/>
      </w:pPr>
      <w:r w:rsidRPr="006E4CC5">
        <w:t xml:space="preserve">detail relating to materials and quality of work, quality assurance, nominated subcontractors, and </w:t>
      </w:r>
      <w:r w:rsidRPr="006E4CC5">
        <w:t>provision of demolition site access/facilities</w:t>
      </w:r>
    </w:p>
    <w:p w:rsidR="00000000" w:rsidRPr="006E4CC5" w:rsidP="006E4CC5">
      <w:pPr>
        <w:pStyle w:val="ListBullet"/>
      </w:pPr>
      <w:r w:rsidRPr="006E4CC5">
        <w:t>details relating to performance:</w:t>
      </w:r>
    </w:p>
    <w:p w:rsidR="00000000" w:rsidRPr="006E4CC5" w:rsidP="006E4CC5">
      <w:pPr>
        <w:pStyle w:val="ListBullet2"/>
      </w:pPr>
      <w:r w:rsidRPr="006E4CC5">
        <w:t>characteristics</w:t>
      </w:r>
    </w:p>
    <w:p w:rsidR="00000000" w:rsidRPr="006E4CC5" w:rsidP="006E4CC5">
      <w:pPr>
        <w:pStyle w:val="ListBullet2"/>
      </w:pPr>
      <w:r w:rsidRPr="006E4CC5">
        <w:t>material types</w:t>
      </w:r>
    </w:p>
    <w:p w:rsidR="00000000" w:rsidRPr="006E4CC5" w:rsidP="006E4CC5">
      <w:pPr>
        <w:pStyle w:val="ListBullet2"/>
      </w:pPr>
      <w:r w:rsidRPr="006E4CC5">
        <w:t>standards of work</w:t>
      </w:r>
    </w:p>
    <w:p w:rsidR="00000000" w:rsidRPr="006E4CC5" w:rsidP="006E4CC5">
      <w:pPr>
        <w:pStyle w:val="ListBullet2"/>
      </w:pPr>
      <w:r w:rsidRPr="006E4CC5">
        <w:t>tolerances</w:t>
      </w:r>
    </w:p>
    <w:p w:rsidR="00000000" w:rsidRPr="006E4CC5" w:rsidP="006E4CC5">
      <w:pPr>
        <w:pStyle w:val="ListBullet2"/>
      </w:pPr>
      <w:r w:rsidRPr="006E4CC5">
        <w:t>treatments and finishes.</w:t>
      </w:r>
    </w:p>
    <w:p w:rsidR="00000000" w:rsidRPr="006E4CC5" w:rsidP="006E4CC5">
      <w:pPr>
        <w:pStyle w:val="AllowPageBreak"/>
      </w:pPr>
    </w:p>
    <w:p w:rsidR="00000000" w:rsidRPr="006E4CC5" w:rsidP="006E4CC5">
      <w:pPr>
        <w:pStyle w:val="Heading1"/>
      </w:pPr>
      <w:bookmarkStart w:id="4" w:name="O_1294631"/>
      <w:bookmarkEnd w:id="4"/>
      <w:r w:rsidRPr="006E4CC5">
        <w:t>Assessment Conditions</w:t>
      </w:r>
    </w:p>
    <w:p w:rsidR="00000000" w:rsidRPr="006E4CC5" w:rsidP="00B77197">
      <w:pPr>
        <w:pStyle w:val="BodyText"/>
      </w:pPr>
      <w:r w:rsidRPr="006E4CC5">
        <w:t xml:space="preserve">Assessors must satisfy the requirements for assessors contained in the Standards for Registered Training Organisations. </w:t>
      </w:r>
    </w:p>
    <w:p w:rsidR="00000000" w:rsidRPr="006E4CC5" w:rsidP="00B77197">
      <w:pPr>
        <w:pStyle w:val="BodyText"/>
      </w:pPr>
      <w:r w:rsidRPr="006E4CC5">
        <w:t xml:space="preserve">Assessment of performance must be undertaken in the workplace or in a simulated workplace environment. </w:t>
      </w:r>
    </w:p>
    <w:p w:rsidR="00000000" w:rsidRPr="006E4CC5" w:rsidP="00B77197">
      <w:pPr>
        <w:pStyle w:val="BodyText"/>
      </w:pPr>
      <w:r w:rsidRPr="006E4CC5">
        <w:t>Assessors are responsible for e</w:t>
      </w:r>
      <w:r w:rsidRPr="006E4CC5">
        <w:t>nsuring that the candidate demonstrating competency has access to:</w:t>
      </w:r>
    </w:p>
    <w:p w:rsidR="00000000" w:rsidRPr="006E4CC5" w:rsidP="006E4CC5">
      <w:pPr>
        <w:pStyle w:val="ListBullet"/>
      </w:pPr>
      <w:r w:rsidRPr="006E4CC5">
        <w:t>plans and specifications for</w:t>
      </w:r>
      <w:r w:rsidRPr="006E4CC5">
        <w:rPr>
          <w:rStyle w:val="BoldandItalics"/>
        </w:rPr>
        <w:t xml:space="preserve"> </w:t>
      </w:r>
      <w:r w:rsidRPr="006E4CC5">
        <w:t>a demolition project and access to a demolition site</w:t>
      </w:r>
    </w:p>
    <w:p w:rsidR="00000000" w:rsidRPr="006E4CC5" w:rsidP="006E4CC5">
      <w:pPr>
        <w:pStyle w:val="ListBullet"/>
      </w:pPr>
      <w:r w:rsidRPr="006E4CC5">
        <w:t>reference material and equipment to read and interpret plans and specifications for demolition projects.</w:t>
      </w:r>
    </w:p>
    <w:p w:rsidR="00000000" w:rsidRPr="006E4CC5" w:rsidP="006E4CC5">
      <w:pPr>
        <w:pStyle w:val="AllowPageBreak"/>
      </w:pPr>
    </w:p>
    <w:p w:rsidR="00000000" w:rsidRPr="006E4CC5" w:rsidP="006E4CC5">
      <w:pPr>
        <w:pStyle w:val="Heading1"/>
      </w:pPr>
      <w:bookmarkStart w:id="5" w:name="O_1294644"/>
      <w:bookmarkEnd w:id="5"/>
      <w:r w:rsidRPr="006E4CC5">
        <w:t>Links</w:t>
      </w:r>
    </w:p>
    <w:p w:rsidR="00000000" w:rsidRPr="006E4CC5" w:rsidP="00B77197">
      <w:pPr>
        <w:pStyle w:val="BodyText"/>
      </w:pPr>
      <w:r w:rsidRPr="006E4CC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26CD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E4CC5" w:rsidP="006E4CC5"/>
    <w:sectPr w:rsidSect="006E4C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C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CC5" w:rsidRPr="00B77197" w:rsidP="00B77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C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97" w:rsidP="006E4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7197" w:rsidP="006E4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77197" w:rsidP="006E4C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C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CC5" w:rsidRPr="00B77197" w:rsidP="00B77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C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97" w:rsidRPr="002D2AF8" w:rsidP="006E4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CPCCDE3027 Read and interpret demolition site plans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77197" w:rsidP="006E4C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2C3F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36E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326A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C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C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C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C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C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C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C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C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C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C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CC5"/>
  </w:style>
  <w:style w:type="character" w:customStyle="1" w:styleId="Heading1Char">
    <w:name w:val="Heading 1 Char"/>
    <w:basedOn w:val="DefaultParagraphFont"/>
    <w:link w:val="Heading1"/>
    <w:rsid w:val="006E4C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C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C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C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4C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4C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C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E4CC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4C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C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C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C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C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C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C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C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C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C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C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C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C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C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C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C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CC5"/>
    <w:rPr>
      <w:b/>
      <w:spacing w:val="0"/>
    </w:rPr>
  </w:style>
  <w:style w:type="paragraph" w:customStyle="1" w:styleId="SuperTitle">
    <w:name w:val="SuperTitle"/>
    <w:basedOn w:val="Title"/>
    <w:rsid w:val="006E4C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C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C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C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C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C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C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C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C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C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C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C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CC5"/>
    <w:rPr>
      <w:i/>
    </w:rPr>
  </w:style>
  <w:style w:type="paragraph" w:styleId="Caption">
    <w:name w:val="caption"/>
    <w:basedOn w:val="BodyText"/>
    <w:next w:val="Normal"/>
    <w:qFormat/>
    <w:rsid w:val="006E4C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C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C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CC5"/>
  </w:style>
  <w:style w:type="paragraph" w:styleId="TableofFigures">
    <w:name w:val="table of figures"/>
    <w:basedOn w:val="Normal"/>
    <w:next w:val="Normal"/>
    <w:semiHidden/>
    <w:rsid w:val="006E4C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C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4CC5"/>
    <w:rPr>
      <w:rFonts w:ascii="Wingdings" w:hAnsi="Wingdings"/>
    </w:rPr>
  </w:style>
  <w:style w:type="paragraph" w:customStyle="1" w:styleId="TableHeading">
    <w:name w:val="Table Heading"/>
    <w:basedOn w:val="HeadingBase"/>
    <w:rsid w:val="006E4C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CC5"/>
    <w:rPr>
      <w:color w:val="0033CC"/>
      <w:u w:val="none"/>
    </w:rPr>
  </w:style>
  <w:style w:type="paragraph" w:customStyle="1" w:styleId="BodyTextRight">
    <w:name w:val="Body Text Right"/>
    <w:basedOn w:val="BodyText"/>
    <w:rsid w:val="006E4C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C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C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C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C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C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CC5"/>
    <w:rPr>
      <w:sz w:val="32"/>
    </w:rPr>
  </w:style>
  <w:style w:type="paragraph" w:customStyle="1" w:styleId="HeadingProcedure">
    <w:name w:val="Heading Procedure"/>
    <w:basedOn w:val="HeadingBase"/>
    <w:next w:val="Normal"/>
    <w:rsid w:val="006E4C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CC5"/>
    <w:pPr>
      <w:spacing w:before="60" w:after="60"/>
    </w:pPr>
  </w:style>
  <w:style w:type="paragraph" w:styleId="ListContinue">
    <w:name w:val="List Continue"/>
    <w:basedOn w:val="List"/>
    <w:rsid w:val="006E4CC5"/>
    <w:pPr>
      <w:ind w:firstLine="0"/>
    </w:pPr>
  </w:style>
  <w:style w:type="paragraph" w:customStyle="1" w:styleId="ListNote">
    <w:name w:val="List Note"/>
    <w:basedOn w:val="List"/>
    <w:rsid w:val="006E4C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C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C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CC5"/>
    <w:rPr>
      <w:rFonts w:ascii="Courier New" w:hAnsi="Courier New"/>
    </w:rPr>
  </w:style>
  <w:style w:type="paragraph" w:customStyle="1" w:styleId="NoteBullet">
    <w:name w:val="Note Bullet"/>
    <w:basedOn w:val="Note"/>
    <w:rsid w:val="006E4C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C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C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C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C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C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C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CC5"/>
    <w:rPr>
      <w:b/>
      <w:smallCaps/>
    </w:rPr>
  </w:style>
  <w:style w:type="paragraph" w:customStyle="1" w:styleId="TableListNumber">
    <w:name w:val="Table List Number"/>
    <w:basedOn w:val="ListNumber"/>
    <w:rsid w:val="006E4C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C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CC5"/>
    <w:pPr>
      <w:numPr>
        <w:numId w:val="9"/>
      </w:numPr>
    </w:pPr>
  </w:style>
  <w:style w:type="paragraph" w:customStyle="1" w:styleId="ListAlpha2">
    <w:name w:val="List Alpha 2"/>
    <w:basedOn w:val="List2"/>
    <w:rsid w:val="006E4CC5"/>
    <w:pPr>
      <w:numPr>
        <w:numId w:val="8"/>
      </w:numPr>
    </w:pPr>
  </w:style>
  <w:style w:type="paragraph" w:styleId="List2">
    <w:name w:val="List 2"/>
    <w:basedOn w:val="BodyText"/>
    <w:rsid w:val="006E4C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C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C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C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C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C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4CC5"/>
    <w:pPr>
      <w:numPr>
        <w:numId w:val="4"/>
      </w:numPr>
    </w:pPr>
  </w:style>
  <w:style w:type="paragraph" w:styleId="ListContinue2">
    <w:name w:val="List Continue 2"/>
    <w:basedOn w:val="List2"/>
    <w:rsid w:val="006E4CC5"/>
    <w:pPr>
      <w:ind w:firstLine="0"/>
    </w:pPr>
  </w:style>
  <w:style w:type="paragraph" w:styleId="ListContinue3">
    <w:name w:val="List Continue 3"/>
    <w:basedOn w:val="List3"/>
    <w:rsid w:val="006E4CC5"/>
    <w:pPr>
      <w:ind w:left="1021" w:firstLine="0"/>
    </w:pPr>
  </w:style>
  <w:style w:type="paragraph" w:styleId="ListContinue4">
    <w:name w:val="List Continue 4"/>
    <w:basedOn w:val="List4"/>
    <w:rsid w:val="006E4CC5"/>
    <w:pPr>
      <w:ind w:firstLine="0"/>
    </w:pPr>
  </w:style>
  <w:style w:type="paragraph" w:styleId="ListContinue5">
    <w:name w:val="List Continue 5"/>
    <w:basedOn w:val="List5"/>
    <w:rsid w:val="006E4CC5"/>
    <w:pPr>
      <w:ind w:firstLine="0"/>
    </w:pPr>
  </w:style>
  <w:style w:type="paragraph" w:styleId="ListNumber3">
    <w:name w:val="List Number 3"/>
    <w:basedOn w:val="List3"/>
    <w:rsid w:val="006E4CC5"/>
    <w:pPr>
      <w:numPr>
        <w:numId w:val="5"/>
      </w:numPr>
    </w:pPr>
  </w:style>
  <w:style w:type="paragraph" w:styleId="ListNumber4">
    <w:name w:val="List Number 4"/>
    <w:basedOn w:val="List4"/>
    <w:rsid w:val="006E4CC5"/>
    <w:pPr>
      <w:numPr>
        <w:numId w:val="6"/>
      </w:numPr>
    </w:pPr>
  </w:style>
  <w:style w:type="paragraph" w:styleId="ListNumber5">
    <w:name w:val="List Number 5"/>
    <w:basedOn w:val="List5"/>
    <w:rsid w:val="006E4CC5"/>
    <w:pPr>
      <w:numPr>
        <w:numId w:val="7"/>
      </w:numPr>
    </w:pPr>
  </w:style>
  <w:style w:type="paragraph" w:styleId="BlockText">
    <w:name w:val="Block Text"/>
    <w:basedOn w:val="Normal"/>
    <w:rsid w:val="006E4C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C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CC5"/>
    <w:rPr>
      <w:sz w:val="16"/>
      <w:vertAlign w:val="superscript"/>
    </w:rPr>
  </w:style>
  <w:style w:type="character" w:customStyle="1" w:styleId="Symbols">
    <w:name w:val="Symbols"/>
    <w:basedOn w:val="DefaultParagraphFont"/>
    <w:rsid w:val="006E4CC5"/>
    <w:rPr>
      <w:rFonts w:ascii="Symbol" w:hAnsi="Symbol"/>
    </w:rPr>
  </w:style>
  <w:style w:type="character" w:customStyle="1" w:styleId="MenuOptions">
    <w:name w:val="Menu Options"/>
    <w:basedOn w:val="DefaultParagraphFont"/>
    <w:rsid w:val="006E4C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CC5"/>
    <w:rPr>
      <w:b/>
    </w:rPr>
  </w:style>
  <w:style w:type="character" w:customStyle="1" w:styleId="Underlined">
    <w:name w:val="Underlined"/>
    <w:basedOn w:val="DefaultParagraphFont"/>
    <w:rsid w:val="006E4CC5"/>
    <w:rPr>
      <w:u w:val="single"/>
    </w:rPr>
  </w:style>
  <w:style w:type="paragraph" w:customStyle="1" w:styleId="TableBodyTextRight">
    <w:name w:val="Table Body Text Right"/>
    <w:basedOn w:val="TableBodyText"/>
    <w:rsid w:val="006E4C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CC5"/>
    <w:rPr>
      <w:sz w:val="18"/>
    </w:rPr>
  </w:style>
  <w:style w:type="paragraph" w:customStyle="1" w:styleId="BodySmallRight">
    <w:name w:val="Body Small Right"/>
    <w:basedOn w:val="BodyTextRight"/>
    <w:rsid w:val="006E4CC5"/>
    <w:rPr>
      <w:sz w:val="18"/>
      <w:szCs w:val="18"/>
    </w:rPr>
  </w:style>
  <w:style w:type="paragraph" w:customStyle="1" w:styleId="MarginEdition">
    <w:name w:val="Margin Edition"/>
    <w:basedOn w:val="MarginNote"/>
    <w:rsid w:val="006E4C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CC5"/>
    <w:rPr>
      <w:sz w:val="2"/>
      <w:szCs w:val="2"/>
    </w:rPr>
  </w:style>
  <w:style w:type="character" w:customStyle="1" w:styleId="Small">
    <w:name w:val="Small"/>
    <w:basedOn w:val="DefaultParagraphFont"/>
    <w:rsid w:val="006E4CC5"/>
    <w:rPr>
      <w:sz w:val="16"/>
    </w:rPr>
  </w:style>
  <w:style w:type="paragraph" w:customStyle="1" w:styleId="WideTable">
    <w:name w:val="Wide Table"/>
    <w:basedOn w:val="Normal"/>
    <w:rsid w:val="006E4C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CC5"/>
  </w:style>
  <w:style w:type="paragraph" w:styleId="Quote">
    <w:name w:val="Quote"/>
    <w:basedOn w:val="Heading1"/>
    <w:link w:val="QuoteChar"/>
    <w:qFormat/>
    <w:rsid w:val="006E4C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C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CC5"/>
    <w:pPr>
      <w:pageBreakBefore/>
    </w:pPr>
  </w:style>
  <w:style w:type="paragraph" w:customStyle="1" w:styleId="Border">
    <w:name w:val="Border"/>
    <w:basedOn w:val="Normal"/>
    <w:qFormat/>
    <w:rsid w:val="006E4C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C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C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C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C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C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C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C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C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CC5"/>
    <w:rPr>
      <w:u w:val="single"/>
    </w:rPr>
  </w:style>
  <w:style w:type="paragraph" w:styleId="BalloonText">
    <w:name w:val="Balloon Text"/>
    <w:basedOn w:val="Normal"/>
    <w:link w:val="BalloonTextChar"/>
    <w:rsid w:val="006E4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C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C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C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C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C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CC5"/>
    <w:pPr>
      <w:spacing w:before="0" w:after="0"/>
    </w:pPr>
  </w:style>
  <w:style w:type="paragraph" w:customStyle="1" w:styleId="BodyTextBold">
    <w:name w:val="Body Text Bold"/>
    <w:basedOn w:val="BodyText"/>
    <w:qFormat/>
    <w:rsid w:val="006E4CC5"/>
    <w:rPr>
      <w:b/>
    </w:rPr>
  </w:style>
  <w:style w:type="character" w:styleId="Hyperlink">
    <w:name w:val="Hyperlink"/>
    <w:basedOn w:val="DefaultParagraphFont"/>
    <w:uiPriority w:val="99"/>
    <w:unhideWhenUsed/>
    <w:rsid w:val="00B77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2608</Characters>
  <Application>Microsoft Office Word</Application>
  <DocSecurity>0</DocSecurity>
  <Lines>84</Lines>
  <Paragraphs>70</Paragraphs>
  <ScaleCrop>false</ScaleCrop>
  <Company>Author-it Software Corporation Ltd.</Company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CPCCDE3027 Read and interpret demolition site plans and drawings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