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2D2" w:rsidP="00BD72D2">
      <w:pPr>
        <w:pStyle w:val="Title"/>
      </w:pPr>
      <w:r>
        <w:fldChar w:fldCharType="begin"/>
      </w:r>
      <w:r>
        <w:instrText xml:space="preserve"> TITLE   \* MERGEFORMAT </w:instrText>
      </w:r>
      <w:r>
        <w:fldChar w:fldCharType="separate"/>
      </w:r>
      <w:r>
        <w:t>CPCCDE3022 Manage demolition recyclable waste materials and contaminated soil using load shifting equipment</w:t>
      </w:r>
      <w:r>
        <w:fldChar w:fldCharType="end"/>
      </w:r>
    </w:p>
    <w:p w:rsidR="00BD72D2" w:rsidP="00BD72D2">
      <w:pPr>
        <w:pStyle w:val="Version"/>
        <w:sectPr w:rsidSect="008E6E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6E21" w:rsidP="008E6E21">
      <w:pPr>
        <w:pStyle w:val="SuperHeading"/>
      </w:pPr>
      <w:r w:rsidRPr="008E6E21">
        <w:t>CPCCDE3022 Manage demolition recyclable waste materials and contaminated soil using load shifting equipment</w:t>
      </w:r>
    </w:p>
    <w:p w:rsidR="00000000" w:rsidRPr="008E6E21" w:rsidP="008E6E21">
      <w:pPr>
        <w:pStyle w:val="Heading1"/>
      </w:pPr>
      <w:bookmarkStart w:id="1" w:name="O_1294914"/>
      <w:bookmarkEnd w:id="1"/>
      <w:r w:rsidRPr="008E6E21">
        <w:t>Modification History</w:t>
      </w:r>
    </w:p>
    <w:tbl>
      <w:tblPr>
        <w:tblW w:w="0" w:type="auto"/>
        <w:tblLayout w:type="fixed"/>
        <w:tblCellMar>
          <w:left w:w="62" w:type="dxa"/>
          <w:right w:w="62" w:type="dxa"/>
        </w:tblCellMar>
        <w:tblLook w:val="0000"/>
      </w:tblPr>
      <w:tblGrid>
        <w:gridCol w:w="1128"/>
        <w:gridCol w:w="7944"/>
      </w:tblGrid>
      <w:tr w:rsidTr="008E6E2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Release 2</w:t>
            </w:r>
          </w:p>
        </w:tc>
        <w:tc>
          <w:tcPr>
            <w:tcW w:w="794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Updated reference to general construction induction training program.</w:t>
            </w:r>
          </w:p>
        </w:tc>
      </w:tr>
      <w:tr w:rsidTr="008E6E2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Release 1</w:t>
            </w:r>
          </w:p>
        </w:tc>
        <w:tc>
          <w:tcPr>
            <w:tcW w:w="7944" w:type="dxa"/>
            <w:tcBorders>
              <w:top w:val="nil"/>
              <w:left w:val="nil"/>
              <w:bottom w:val="nil"/>
              <w:right w:val="nil"/>
            </w:tcBorders>
            <w:tcMar>
              <w:top w:w="0" w:type="dxa"/>
              <w:left w:w="62" w:type="dxa"/>
              <w:bottom w:w="0" w:type="dxa"/>
              <w:right w:w="62" w:type="dxa"/>
            </w:tcMar>
          </w:tcPr>
          <w:p w:rsidR="00000000" w:rsidRPr="008E6E21" w:rsidP="008E6E21">
            <w:pPr>
              <w:pStyle w:val="BodyText"/>
            </w:pPr>
            <w:r w:rsidRPr="008E6E21">
              <w:t>This version first released with CPC Construction, Plumbing and Services Training Package Release 5.0.</w:t>
            </w:r>
          </w:p>
          <w:p w:rsidR="00000000" w:rsidRPr="008E6E21" w:rsidP="008E6E21">
            <w:pPr>
              <w:pStyle w:val="BodyText"/>
            </w:pPr>
            <w:r w:rsidRPr="008E6E21">
              <w:t>Supersedes and is equivalent to CPCCDE3022A Manage demolition recyclable and waste materials using load shifting equipment.  Updated to meet the Standard</w:t>
            </w:r>
            <w:r w:rsidRPr="008E6E21">
              <w:t>s for Training Packages 2012.</w:t>
            </w:r>
          </w:p>
        </w:tc>
      </w:tr>
    </w:tbl>
    <w:p w:rsidR="00000000" w:rsidRPr="008E6E21" w:rsidP="008E6E21">
      <w:pPr>
        <w:pStyle w:val="BodyText"/>
      </w:pPr>
    </w:p>
    <w:p w:rsidR="00000000" w:rsidRPr="008E6E21" w:rsidP="008E6E21">
      <w:pPr>
        <w:pStyle w:val="AllowPageBreak"/>
      </w:pPr>
    </w:p>
    <w:p w:rsidR="00000000" w:rsidRPr="008E6E21" w:rsidP="008E6E21">
      <w:pPr>
        <w:pStyle w:val="Heading1"/>
      </w:pPr>
      <w:bookmarkStart w:id="2" w:name="O_1294913"/>
      <w:bookmarkEnd w:id="2"/>
      <w:r w:rsidRPr="008E6E21">
        <w:t>Application</w:t>
      </w:r>
    </w:p>
    <w:p w:rsidR="00000000" w:rsidRPr="008E6E21" w:rsidP="00BD72D2">
      <w:pPr>
        <w:pStyle w:val="BodyText"/>
      </w:pPr>
      <w:r w:rsidRPr="008E6E21">
        <w:t>This unit of competency specifies the skills and knowledge required to organise the removal of different types of demolition recyclable and waste materials and contaminated soil. It involves th</w:t>
      </w:r>
      <w:r w:rsidRPr="008E6E21">
        <w:t>e operation of a range of load shifting equipment on demolition sites and incorporates knowledge of recyclable materials and the safe disposal of hazardous materials.</w:t>
      </w:r>
    </w:p>
    <w:p w:rsidR="00000000" w:rsidRPr="008E6E21" w:rsidP="00BD72D2">
      <w:pPr>
        <w:pStyle w:val="BodyText"/>
      </w:pPr>
      <w:r w:rsidRPr="008E6E21">
        <w:t>The unit does not provide training and assessment for operation of individual items of pl</w:t>
      </w:r>
      <w:r w:rsidRPr="008E6E21">
        <w:t xml:space="preserve">ant. </w:t>
      </w:r>
    </w:p>
    <w:p w:rsidR="00000000" w:rsidRPr="008E6E21" w:rsidP="00BD72D2">
      <w:pPr>
        <w:pStyle w:val="BodyText"/>
      </w:pPr>
      <w:r w:rsidRPr="008E6E21">
        <w:t>Candidates may only enrol in this unit after successfully completing separate operator training and assessment that confirms the capability of the person to safely operate the items of plant covered in this unit.</w:t>
      </w:r>
    </w:p>
    <w:p w:rsidR="00000000" w:rsidRPr="008E6E21" w:rsidP="00BD72D2">
      <w:pPr>
        <w:pStyle w:val="BodyText"/>
      </w:pPr>
      <w:r w:rsidRPr="008E6E21">
        <w:t>Completion of the general constructio</w:t>
      </w:r>
      <w:r w:rsidRPr="008E6E21">
        <w:t xml:space="preserve">n induction training program specified by the model Code of Practice for Construction Work is required for any person who is to carry out construction work. Achievement of </w:t>
      </w:r>
      <w:r w:rsidRPr="008E6E21">
        <w:rPr>
          <w:rStyle w:val="Emphasis"/>
        </w:rPr>
        <w:t>CPCWHS1001</w:t>
      </w:r>
      <w:r w:rsidRPr="008E6E21">
        <w:t> </w:t>
      </w:r>
      <w:r w:rsidRPr="008E6E21">
        <w:rPr>
          <w:rStyle w:val="Emphasis"/>
        </w:rPr>
        <w:t>Prepare to work safely in the construction industry</w:t>
      </w:r>
      <w:r w:rsidRPr="008E6E21">
        <w:t> meets this requiremen</w:t>
      </w:r>
      <w:r w:rsidRPr="008E6E21">
        <w:t>t.</w:t>
      </w:r>
    </w:p>
    <w:p w:rsidR="00000000" w:rsidRPr="008E6E21" w:rsidP="00BD72D2">
      <w:pPr>
        <w:pStyle w:val="BodyText"/>
      </w:pPr>
      <w:r w:rsidRPr="008E6E21">
        <w:t>Licensing, legislative, regulatory or certification requirements apply to demolition work in different states and territories. Candidates are advised to consult with the relevant regulatory authority.</w:t>
      </w:r>
    </w:p>
    <w:p w:rsidR="00000000" w:rsidRPr="008E6E21" w:rsidP="008E6E21">
      <w:pPr>
        <w:pStyle w:val="Heading1"/>
      </w:pPr>
      <w:bookmarkStart w:id="3" w:name="O_1294912"/>
      <w:bookmarkEnd w:id="3"/>
      <w:r w:rsidRPr="008E6E21">
        <w:t>Pre-requisite Unit</w:t>
      </w:r>
    </w:p>
    <w:p w:rsidR="00000000" w:rsidRPr="008E6E21" w:rsidP="00BD72D2">
      <w:pPr>
        <w:pStyle w:val="BodyText"/>
      </w:pPr>
      <w:r w:rsidRPr="008E6E21">
        <w:t>Nil.</w:t>
      </w:r>
    </w:p>
    <w:p w:rsidR="00000000" w:rsidRPr="008E6E21" w:rsidP="008E6E21">
      <w:pPr>
        <w:pStyle w:val="Heading1"/>
      </w:pPr>
      <w:bookmarkStart w:id="4" w:name="O_1294911"/>
      <w:bookmarkEnd w:id="4"/>
      <w:r w:rsidRPr="008E6E21">
        <w:t>Unit Sector</w:t>
      </w:r>
    </w:p>
    <w:p w:rsidR="00000000" w:rsidRPr="008E6E21" w:rsidP="00BD72D2">
      <w:pPr>
        <w:pStyle w:val="BodyText"/>
      </w:pPr>
      <w:r w:rsidRPr="008E6E21">
        <w:t>Demolition.</w:t>
      </w:r>
    </w:p>
    <w:p w:rsidR="00000000" w:rsidRPr="008E6E21" w:rsidP="008E6E21">
      <w:pPr>
        <w:pStyle w:val="Heading1"/>
      </w:pPr>
      <w:bookmarkStart w:id="5" w:name="O_1294910"/>
      <w:bookmarkEnd w:id="5"/>
      <w:r w:rsidRPr="008E6E2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E6E2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Performance criteria describe what needs to be done to demonstrate achievement of the element.</w:t>
            </w:r>
          </w:p>
        </w:tc>
      </w:tr>
      <w:tr w:rsidTr="008E6E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1</w:t>
            </w:r>
          </w:p>
        </w:tc>
        <w:tc>
          <w:tcPr>
            <w:tcW w:w="2357"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Plan and prepare fo</w:t>
            </w:r>
            <w:r w:rsidRPr="008E6E21">
              <w:t>r work.</w:t>
            </w: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1.1</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Obtain work instructions using required information, confirm and apply to planning and preparation.</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1.2</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Complete tasks according to manufacturer specifications and regulatory, legislative and workplace policies and requirements.</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1.3</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Identify and apply work health and safety (WHS) requirements to task planning.</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1.4</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Select load shifting equipment, associated attachments and emergency and personal protective equipment (PPE) to maximise efficiency and effectiveness of transportation.</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1.5</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Present licence to operate specific plant to relevant personnel for compliance inspection.</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1.6</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Identify and deal with potential hazards and risks.</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1.7</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Identify and apply environmental requirements to work planning.</w:t>
            </w:r>
          </w:p>
        </w:tc>
      </w:tr>
      <w:tr w:rsidTr="008E6E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6E21">
            <w:pPr>
              <w:pStyle w:val="BodyText"/>
              <w:rPr>
                <w:lang w:val="en-NZ"/>
              </w:rPr>
            </w:pPr>
          </w:p>
        </w:tc>
      </w:tr>
      <w:tr w:rsidTr="008E6E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2</w:t>
            </w:r>
          </w:p>
        </w:tc>
        <w:tc>
          <w:tcPr>
            <w:tcW w:w="2357"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Perform routine checks on load shifting and other equipment.</w:t>
            </w: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2.1</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Inspect load shifting equipment and rectify or report faults as required.</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2.2</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Conduct service checks and test load shifting equipment systems to ensure compliance with manufacturer specifi</w:t>
            </w:r>
            <w:r w:rsidRPr="008E6E21">
              <w:t>cations.</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2.3</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Check emergency and PPE to ensure it is serviceable.</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2.4</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Check associated equipment to ensure that it is operational and complies with manufacturer specifications.</w:t>
            </w:r>
          </w:p>
        </w:tc>
      </w:tr>
      <w:tr w:rsidTr="008E6E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6E21">
            <w:pPr>
              <w:pStyle w:val="BodyText"/>
              <w:rPr>
                <w:lang w:val="en-NZ"/>
              </w:rPr>
            </w:pPr>
          </w:p>
        </w:tc>
      </w:tr>
      <w:tr w:rsidTr="008E6E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3</w:t>
            </w:r>
          </w:p>
        </w:tc>
        <w:tc>
          <w:tcPr>
            <w:tcW w:w="2357"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Organise materials and equipment for loading.</w:t>
            </w: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3.1</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Confirm with relevant personnel worksite procedures for segregating and locating recyclable and waste demolition materials.</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3.2</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 xml:space="preserve">Identify recyclable materials to be loaded and check to </w:t>
            </w:r>
            <w:r w:rsidRPr="008E6E21">
              <w:t>ensure integrity of on-site sorting, as required.</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3.3</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Identify was</w:t>
            </w:r>
            <w:r w:rsidRPr="008E6E21">
              <w:t>te materials to be loaded and check to ensure integrity of containment, as required.</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3.4</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Determine loading procedures according to material or waste type.</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3.5</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Park load shifting equipment or set up in a loading position that ensures efficiency and safety of loading.</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3.6</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Erect barriers and warning signs at loading sites to ensure safety of surrounding personnel.</w:t>
            </w:r>
          </w:p>
        </w:tc>
      </w:tr>
      <w:tr w:rsidTr="008E6E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6E21">
            <w:pPr>
              <w:pStyle w:val="BodyText"/>
              <w:rPr>
                <w:lang w:val="en-NZ"/>
              </w:rPr>
            </w:pPr>
          </w:p>
        </w:tc>
      </w:tr>
      <w:tr w:rsidTr="008E6E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4</w:t>
            </w:r>
          </w:p>
        </w:tc>
        <w:tc>
          <w:tcPr>
            <w:tcW w:w="2357"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Load and move materials.</w:t>
            </w: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4.1</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Load materials safely and efficiently according to type and using an approved loading method to maintain integrity.</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4.2</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Maintain visual checks of load and surrounding environment to identify and avoid, minimise or remedy potential hazards.</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4.3</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Maintain clear communication with relevant personnel.</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4.4</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 xml:space="preserve">Check load to ensure it conforms to equipment capacity requirements, manufacturer specifications, and requirements of relevant legislation and codes. </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4.5</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Operate and drive equipment in a safe</w:t>
            </w:r>
            <w:r w:rsidRPr="008E6E21">
              <w:t xml:space="preserve"> and efficient manner following all road and traffic regulations.</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4.6</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Move and secure materials safely.</w:t>
            </w:r>
          </w:p>
        </w:tc>
      </w:tr>
      <w:tr w:rsidTr="008E6E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6E21">
            <w:pPr>
              <w:pStyle w:val="BodyText"/>
              <w:rPr>
                <w:lang w:val="en-NZ"/>
              </w:rPr>
            </w:pPr>
          </w:p>
        </w:tc>
      </w:tr>
      <w:tr w:rsidTr="008E6E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5</w:t>
            </w:r>
          </w:p>
        </w:tc>
        <w:tc>
          <w:tcPr>
            <w:tcW w:w="2357"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Unload and store materials.</w:t>
            </w: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5.1</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Unload materials safely and efficiently in designated area according to type and using an approved unloading method to maintain integrity.</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5.2</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Maintain visual checks to identify and remedy potential hazards during unloading.</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5.3</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Stack or house load at destination.</w:t>
            </w:r>
          </w:p>
        </w:tc>
      </w:tr>
      <w:tr w:rsidTr="008E6E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6E21">
            <w:pPr>
              <w:pStyle w:val="BodyText"/>
              <w:rPr>
                <w:lang w:val="en-NZ"/>
              </w:rPr>
            </w:pPr>
          </w:p>
        </w:tc>
      </w:tr>
      <w:tr w:rsidTr="008E6E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6</w:t>
            </w:r>
          </w:p>
        </w:tc>
        <w:tc>
          <w:tcPr>
            <w:tcW w:w="2357"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Shut down and secure load shifting equipment.</w:t>
            </w: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6.1</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Park or store equipment in a safe location to avoid damage to equipment or obstruction of surrounding site activity.</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6.2</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Complete shutdown procedures.</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6.3</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Secure and store equipment in a manner that prevents unauthorised access or use.</w:t>
            </w:r>
          </w:p>
        </w:tc>
      </w:tr>
      <w:tr w:rsidTr="008E6E2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6E21">
            <w:pPr>
              <w:pStyle w:val="BodyText"/>
              <w:rPr>
                <w:lang w:val="en-NZ"/>
              </w:rPr>
            </w:pPr>
          </w:p>
        </w:tc>
      </w:tr>
      <w:tr w:rsidTr="008E6E2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7</w:t>
            </w:r>
          </w:p>
        </w:tc>
        <w:tc>
          <w:tcPr>
            <w:tcW w:w="2357" w:type="dxa"/>
            <w:vMerge w:val="restart"/>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Carry out basic housekeeping and maintenance.</w:t>
            </w: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7.1</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Clean equipment to remove debris and contamination and to ensure safe operating procedures.</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7.2</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Conduct service checks.</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7.3</w:t>
            </w:r>
          </w:p>
        </w:tc>
        <w:tc>
          <w:tcPr>
            <w:tcW w:w="5659"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Report equipment faults and defects to relevant personnel.</w:t>
            </w:r>
          </w:p>
        </w:tc>
      </w:tr>
      <w:tr w:rsidTr="008E6E2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6E21">
            <w:pPr>
              <w:pStyle w:val="BodyText"/>
              <w:rPr>
                <w:lang w:val="en-NZ"/>
              </w:rPr>
            </w:pPr>
            <w:r w:rsidRPr="008E6E21">
              <w:t>7.4</w:t>
            </w:r>
          </w:p>
        </w:tc>
        <w:tc>
          <w:tcPr>
            <w:tcW w:w="5659" w:type="dxa"/>
            <w:tcBorders>
              <w:top w:val="nil"/>
              <w:left w:val="nil"/>
              <w:bottom w:val="nil"/>
              <w:right w:val="nil"/>
            </w:tcBorders>
            <w:tcMar>
              <w:top w:w="0" w:type="dxa"/>
              <w:left w:w="62" w:type="dxa"/>
              <w:bottom w:w="0" w:type="dxa"/>
              <w:right w:w="62" w:type="dxa"/>
            </w:tcMar>
          </w:tcPr>
          <w:p w:rsidR="00000000" w:rsidRPr="008E6E21" w:rsidP="008E6E21">
            <w:pPr>
              <w:pStyle w:val="BodyText"/>
            </w:pPr>
            <w:r w:rsidRPr="008E6E21">
              <w:t>Complete record of moving activities promptly.</w:t>
            </w:r>
          </w:p>
        </w:tc>
      </w:tr>
    </w:tbl>
    <w:p w:rsidR="00000000" w:rsidRPr="008E6E21" w:rsidP="008E6E21">
      <w:pPr>
        <w:pStyle w:val="BodyText"/>
      </w:pPr>
    </w:p>
    <w:p w:rsidR="00000000" w:rsidRPr="008E6E21" w:rsidP="008E6E21">
      <w:pPr>
        <w:pStyle w:val="AllowPageBreak"/>
      </w:pPr>
    </w:p>
    <w:p w:rsidR="00000000" w:rsidRPr="008E6E21" w:rsidP="008E6E21">
      <w:pPr>
        <w:pStyle w:val="Heading1"/>
      </w:pPr>
      <w:bookmarkStart w:id="6" w:name="O_1294909"/>
      <w:bookmarkEnd w:id="6"/>
      <w:r w:rsidRPr="008E6E21">
        <w:t>Foundation Skills</w:t>
      </w:r>
    </w:p>
    <w:p w:rsidR="00000000" w:rsidRPr="008E6E21" w:rsidP="00BD72D2">
      <w:pPr>
        <w:pStyle w:val="BodyText"/>
      </w:pPr>
      <w:r w:rsidRPr="008E6E21">
        <w:t xml:space="preserve">Foundation skills essential to performance are explicit in the performance criteria of this unit of competency. </w:t>
      </w:r>
    </w:p>
    <w:p w:rsidR="00000000" w:rsidRPr="008E6E21" w:rsidP="008E6E21">
      <w:pPr>
        <w:pStyle w:val="Heading1"/>
      </w:pPr>
      <w:bookmarkStart w:id="7" w:name="O_1294908"/>
      <w:bookmarkEnd w:id="7"/>
      <w:r w:rsidRPr="008E6E21">
        <w:t>Unit Mapping Information</w:t>
      </w:r>
    </w:p>
    <w:p w:rsidR="00000000" w:rsidRPr="008E6E21" w:rsidP="00BD72D2">
      <w:pPr>
        <w:pStyle w:val="BodyText"/>
      </w:pPr>
      <w:r w:rsidRPr="008E6E21">
        <w:t xml:space="preserve">Supersedes and is equivalent to CPCCDE3022A Manage demolition recyclable and waste materials using </w:t>
      </w:r>
      <w:r w:rsidRPr="008E6E21">
        <w:t>load shifting equipment.</w:t>
      </w:r>
    </w:p>
    <w:p w:rsidR="00000000" w:rsidRPr="008E6E21" w:rsidP="008E6E21">
      <w:pPr>
        <w:pStyle w:val="Heading1"/>
      </w:pPr>
      <w:bookmarkStart w:id="8" w:name="O_1294915"/>
      <w:bookmarkEnd w:id="8"/>
      <w:r w:rsidRPr="008E6E21">
        <w:t>Links</w:t>
      </w:r>
    </w:p>
    <w:p w:rsidR="00000000" w:rsidRPr="008E6E21" w:rsidP="00BD72D2">
      <w:pPr>
        <w:pStyle w:val="BodyText"/>
      </w:pPr>
      <w:r w:rsidRPr="008E6E2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51787">
        <w:rPr>
          <w:rStyle w:val="Hyperlink"/>
        </w:rPr>
        <w:t>https://vetnet.gov.au/Pages/TrainingDocs.aspx?q=7e15fa6a-68b8-4097-b099-030a5569b1ad</w:t>
      </w:r>
      <w:r>
        <w:fldChar w:fldCharType="end"/>
      </w:r>
    </w:p>
    <w:p w:rsidR="00000000" w:rsidRPr="008E6E21" w:rsidP="008E6E21"/>
    <w:sectPr w:rsidSect="008E6E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21" w:rsidRPr="00BD72D2" w:rsidP="00BD7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D2" w:rsidP="008E6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72D2" w:rsidP="008E6E2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D72D2" w:rsidP="008E6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E21" w:rsidRPr="00BD72D2" w:rsidP="00BD72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D2" w:rsidRPr="002D2AF8" w:rsidP="008E6E21">
    <w:pPr>
      <w:pStyle w:val="Header"/>
      <w:framePr w:wrap="around"/>
    </w:pPr>
    <w:r>
      <w:fldChar w:fldCharType="begin"/>
    </w:r>
    <w:r>
      <w:instrText xml:space="preserve"> TITLE   \* MERGEFORMAT </w:instrText>
    </w:r>
    <w:r>
      <w:fldChar w:fldCharType="separate"/>
    </w:r>
    <w:r>
      <w:t>CPCCDE3022 Manage demolition recyclable waste materials and contaminated soil using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D72D2" w:rsidP="008E6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E21"/>
    <w:pPr>
      <w:spacing w:before="360" w:after="60"/>
      <w:outlineLvl w:val="0"/>
    </w:pPr>
    <w:rPr>
      <w:sz w:val="32"/>
    </w:rPr>
  </w:style>
  <w:style w:type="paragraph" w:styleId="Heading2">
    <w:name w:val="heading 2"/>
    <w:basedOn w:val="HeadingBase"/>
    <w:next w:val="BodyText"/>
    <w:link w:val="Heading2Char"/>
    <w:qFormat/>
    <w:rsid w:val="008E6E21"/>
    <w:pPr>
      <w:keepLines/>
      <w:spacing w:before="240" w:after="120"/>
      <w:outlineLvl w:val="1"/>
    </w:pPr>
    <w:rPr>
      <w:sz w:val="28"/>
      <w:szCs w:val="40"/>
    </w:rPr>
  </w:style>
  <w:style w:type="paragraph" w:styleId="Heading3">
    <w:name w:val="heading 3"/>
    <w:basedOn w:val="HeadingBase"/>
    <w:next w:val="BodyText"/>
    <w:link w:val="Heading3Char"/>
    <w:qFormat/>
    <w:rsid w:val="008E6E21"/>
    <w:pPr>
      <w:spacing w:before="180" w:after="120"/>
      <w:outlineLvl w:val="2"/>
    </w:pPr>
    <w:rPr>
      <w:spacing w:val="-10"/>
      <w:kern w:val="32"/>
    </w:rPr>
  </w:style>
  <w:style w:type="paragraph" w:styleId="Heading4">
    <w:name w:val="heading 4"/>
    <w:basedOn w:val="HeadingBase"/>
    <w:next w:val="BodyText"/>
    <w:link w:val="Heading4Char"/>
    <w:qFormat/>
    <w:rsid w:val="008E6E21"/>
    <w:pPr>
      <w:spacing w:before="160" w:after="120"/>
      <w:outlineLvl w:val="3"/>
    </w:pPr>
    <w:rPr>
      <w:sz w:val="22"/>
    </w:rPr>
  </w:style>
  <w:style w:type="paragraph" w:styleId="Heading5">
    <w:name w:val="heading 5"/>
    <w:basedOn w:val="HeadingBase"/>
    <w:next w:val="Normal"/>
    <w:link w:val="Heading5Char"/>
    <w:qFormat/>
    <w:rsid w:val="008E6E21"/>
    <w:pPr>
      <w:spacing w:before="80"/>
      <w:outlineLvl w:val="4"/>
    </w:pPr>
    <w:rPr>
      <w:color w:val="918585"/>
      <w:sz w:val="20"/>
    </w:rPr>
  </w:style>
  <w:style w:type="paragraph" w:styleId="Heading6">
    <w:name w:val="heading 6"/>
    <w:basedOn w:val="HeadingBase"/>
    <w:next w:val="Normal"/>
    <w:link w:val="Heading6Char"/>
    <w:qFormat/>
    <w:rsid w:val="008E6E21"/>
    <w:pPr>
      <w:spacing w:before="60"/>
      <w:outlineLvl w:val="5"/>
    </w:pPr>
    <w:rPr>
      <w:color w:val="918585"/>
      <w:sz w:val="20"/>
    </w:rPr>
  </w:style>
  <w:style w:type="paragraph" w:styleId="Heading7">
    <w:name w:val="heading 7"/>
    <w:basedOn w:val="Normal"/>
    <w:next w:val="Normal"/>
    <w:link w:val="Heading7Char"/>
    <w:qFormat/>
    <w:rsid w:val="008E6E21"/>
    <w:pPr>
      <w:ind w:left="720"/>
      <w:outlineLvl w:val="6"/>
    </w:pPr>
    <w:rPr>
      <w:i/>
    </w:rPr>
  </w:style>
  <w:style w:type="paragraph" w:styleId="Heading8">
    <w:name w:val="heading 8"/>
    <w:basedOn w:val="Normal"/>
    <w:next w:val="Normal"/>
    <w:link w:val="Heading8Char"/>
    <w:qFormat/>
    <w:rsid w:val="008E6E21"/>
    <w:pPr>
      <w:ind w:left="720"/>
      <w:outlineLvl w:val="7"/>
    </w:pPr>
    <w:rPr>
      <w:i/>
    </w:rPr>
  </w:style>
  <w:style w:type="paragraph" w:styleId="Heading9">
    <w:name w:val="heading 9"/>
    <w:basedOn w:val="Normal"/>
    <w:next w:val="Normal"/>
    <w:link w:val="Heading9Char"/>
    <w:qFormat/>
    <w:rsid w:val="008E6E21"/>
    <w:pPr>
      <w:ind w:left="720"/>
      <w:outlineLvl w:val="8"/>
    </w:pPr>
    <w:rPr>
      <w:i/>
    </w:rPr>
  </w:style>
  <w:style w:type="character" w:default="1" w:styleId="DefaultParagraphFont">
    <w:name w:val="Default Paragraph Font"/>
    <w:uiPriority w:val="1"/>
    <w:unhideWhenUsed/>
    <w:rsid w:val="008E6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E21"/>
  </w:style>
  <w:style w:type="character" w:customStyle="1" w:styleId="Heading1Char">
    <w:name w:val="Heading 1 Char"/>
    <w:basedOn w:val="DefaultParagraphFont"/>
    <w:link w:val="Heading1"/>
    <w:rsid w:val="008E6E21"/>
    <w:rPr>
      <w:rFonts w:ascii="Times New Roman" w:eastAsia="Times New Roman" w:hAnsi="Times New Roman" w:cs="Times New Roman"/>
      <w:b/>
      <w:sz w:val="32"/>
      <w:szCs w:val="20"/>
      <w:lang w:eastAsia="en-US"/>
    </w:rPr>
  </w:style>
  <w:style w:type="paragraph" w:styleId="BodyText">
    <w:name w:val="Body Text"/>
    <w:basedOn w:val="Normal"/>
    <w:link w:val="BodyTextChar"/>
    <w:rsid w:val="008E6E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E21"/>
    <w:rPr>
      <w:rFonts w:ascii="Times New Roman" w:eastAsia="Times New Roman" w:hAnsi="Times New Roman" w:cs="Times New Roman"/>
      <w:sz w:val="24"/>
      <w:lang w:eastAsia="en-US"/>
    </w:rPr>
  </w:style>
  <w:style w:type="character" w:styleId="Emphasis">
    <w:name w:val="Emphasis"/>
    <w:basedOn w:val="DefaultParagraphFont"/>
    <w:qFormat/>
    <w:rsid w:val="008E6E21"/>
    <w:rPr>
      <w:i/>
    </w:rPr>
  </w:style>
  <w:style w:type="paragraph" w:customStyle="1" w:styleId="SuperHeading">
    <w:name w:val="SuperHeading"/>
    <w:basedOn w:val="Normal"/>
    <w:rsid w:val="008E6E21"/>
    <w:pPr>
      <w:spacing w:before="240" w:after="120"/>
      <w:outlineLvl w:val="0"/>
    </w:pPr>
    <w:rPr>
      <w:rFonts w:ascii="Times New Roman" w:hAnsi="Times New Roman"/>
      <w:b/>
      <w:sz w:val="32"/>
    </w:rPr>
  </w:style>
  <w:style w:type="paragraph" w:customStyle="1" w:styleId="AllowPageBreak">
    <w:name w:val="AllowPageBreak"/>
    <w:rsid w:val="008E6E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E21"/>
    <w:rPr>
      <w:rFonts w:ascii="Courier New" w:eastAsia="Times New Roman" w:hAnsi="Courier New" w:cs="Times New Roman"/>
      <w:i/>
      <w:szCs w:val="20"/>
      <w:lang w:eastAsia="en-US"/>
    </w:rPr>
  </w:style>
  <w:style w:type="paragraph" w:customStyle="1" w:styleId="HeadingBase">
    <w:name w:val="Heading Base"/>
    <w:rsid w:val="008E6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E21"/>
    <w:pPr>
      <w:tabs>
        <w:tab w:val="right" w:leader="dot" w:pos="9072"/>
      </w:tabs>
      <w:ind w:left="567"/>
    </w:pPr>
    <w:rPr>
      <w:szCs w:val="22"/>
    </w:rPr>
  </w:style>
  <w:style w:type="paragraph" w:customStyle="1" w:styleId="TOCBase">
    <w:name w:val="TOC Base"/>
    <w:rsid w:val="008E6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E21"/>
    <w:pPr>
      <w:tabs>
        <w:tab w:val="right" w:leader="dot" w:pos="9072"/>
      </w:tabs>
      <w:spacing w:before="40" w:after="40"/>
      <w:ind w:left="284"/>
    </w:pPr>
    <w:rPr>
      <w:rFonts w:ascii="Times New Roman" w:hAnsi="Times New Roman"/>
    </w:rPr>
  </w:style>
  <w:style w:type="paragraph" w:styleId="TOC1">
    <w:name w:val="toc 1"/>
    <w:basedOn w:val="TOCBase"/>
    <w:next w:val="Normal"/>
    <w:rsid w:val="008E6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E21"/>
    <w:rPr>
      <w:rFonts w:ascii="Times New Roman" w:eastAsia="Times New Roman" w:hAnsi="Times New Roman" w:cs="Times New Roman"/>
      <w:sz w:val="16"/>
      <w:lang w:eastAsia="en-US"/>
    </w:rPr>
  </w:style>
  <w:style w:type="paragraph" w:styleId="Title">
    <w:name w:val="Title"/>
    <w:basedOn w:val="HeadingBase"/>
    <w:link w:val="TitleChar"/>
    <w:qFormat/>
    <w:rsid w:val="008E6E21"/>
    <w:pPr>
      <w:spacing w:before="5040"/>
      <w:jc w:val="center"/>
    </w:pPr>
    <w:rPr>
      <w:sz w:val="48"/>
      <w:szCs w:val="72"/>
      <w:lang w:val="en-US"/>
    </w:rPr>
  </w:style>
  <w:style w:type="character" w:customStyle="1" w:styleId="TitleChar">
    <w:name w:val="Title Char"/>
    <w:basedOn w:val="DefaultParagraphFont"/>
    <w:link w:val="Title"/>
    <w:rsid w:val="008E6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E21"/>
    <w:pPr>
      <w:tabs>
        <w:tab w:val="left" w:pos="3600"/>
        <w:tab w:val="left" w:pos="3958"/>
      </w:tabs>
    </w:pPr>
  </w:style>
  <w:style w:type="paragraph" w:styleId="List">
    <w:name w:val="List"/>
    <w:basedOn w:val="BodyText"/>
    <w:next w:val="BodyText"/>
    <w:rsid w:val="008E6E21"/>
    <w:pPr>
      <w:tabs>
        <w:tab w:val="left" w:pos="340"/>
      </w:tabs>
      <w:spacing w:before="60" w:after="60"/>
      <w:ind w:left="340" w:hanging="340"/>
    </w:pPr>
  </w:style>
  <w:style w:type="paragraph" w:styleId="ListBullet">
    <w:name w:val="List Bullet"/>
    <w:basedOn w:val="List"/>
    <w:rsid w:val="008E6E21"/>
    <w:pPr>
      <w:numPr>
        <w:numId w:val="10"/>
      </w:numPr>
      <w:tabs>
        <w:tab w:val="clear" w:pos="340"/>
      </w:tabs>
      <w:spacing w:before="40" w:after="40"/>
    </w:pPr>
  </w:style>
  <w:style w:type="paragraph" w:customStyle="1" w:styleId="Note">
    <w:name w:val="Note"/>
    <w:basedOn w:val="BodyText"/>
    <w:rsid w:val="008E6E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6E21"/>
    <w:rPr>
      <w:b/>
      <w:spacing w:val="0"/>
    </w:rPr>
  </w:style>
  <w:style w:type="paragraph" w:customStyle="1" w:styleId="SuperTitle">
    <w:name w:val="SuperTitle"/>
    <w:basedOn w:val="Title"/>
    <w:rsid w:val="008E6E21"/>
    <w:pPr>
      <w:framePr w:wrap="auto" w:hAnchor="text" w:y="6049"/>
    </w:pPr>
    <w:rPr>
      <w:color w:val="000000"/>
      <w:sz w:val="40"/>
    </w:rPr>
  </w:style>
  <w:style w:type="paragraph" w:customStyle="1" w:styleId="TOCTitle">
    <w:name w:val="TOCTitle"/>
    <w:basedOn w:val="Heading1"/>
    <w:rsid w:val="008E6E21"/>
    <w:pPr>
      <w:spacing w:after="240"/>
      <w:jc w:val="center"/>
      <w:outlineLvl w:val="9"/>
    </w:pPr>
    <w:rPr>
      <w:caps/>
    </w:rPr>
  </w:style>
  <w:style w:type="paragraph" w:customStyle="1" w:styleId="Version">
    <w:name w:val="Version"/>
    <w:rsid w:val="008E6E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E21"/>
    <w:pPr>
      <w:numPr>
        <w:numId w:val="11"/>
      </w:numPr>
      <w:tabs>
        <w:tab w:val="clear" w:pos="680"/>
      </w:tabs>
    </w:pPr>
  </w:style>
  <w:style w:type="paragraph" w:styleId="Index1">
    <w:name w:val="index 1"/>
    <w:basedOn w:val="Normal"/>
    <w:next w:val="Normal"/>
    <w:semiHidden/>
    <w:rsid w:val="008E6E21"/>
    <w:pPr>
      <w:keepNext w:val="0"/>
      <w:tabs>
        <w:tab w:val="right" w:pos="4176"/>
      </w:tabs>
      <w:ind w:left="198" w:hanging="198"/>
    </w:pPr>
    <w:rPr>
      <w:rFonts w:ascii="Garamond" w:hAnsi="Garamond"/>
    </w:rPr>
  </w:style>
  <w:style w:type="paragraph" w:styleId="IndexHeading">
    <w:name w:val="index heading"/>
    <w:basedOn w:val="Normal"/>
    <w:next w:val="Index1"/>
    <w:semiHidden/>
    <w:rsid w:val="008E6E21"/>
    <w:pPr>
      <w:spacing w:before="120" w:after="120"/>
    </w:pPr>
    <w:rPr>
      <w:rFonts w:ascii="Arial" w:hAnsi="Arial"/>
      <w:b/>
      <w:color w:val="918585"/>
      <w:sz w:val="24"/>
    </w:rPr>
  </w:style>
  <w:style w:type="paragraph" w:styleId="Header">
    <w:name w:val="header"/>
    <w:basedOn w:val="Normal"/>
    <w:link w:val="HeaderChar"/>
    <w:rsid w:val="008E6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E21"/>
    <w:rPr>
      <w:rFonts w:ascii="Times New Roman" w:eastAsia="Times New Roman" w:hAnsi="Times New Roman" w:cs="Times New Roman"/>
      <w:sz w:val="16"/>
      <w:szCs w:val="20"/>
      <w:lang w:val="en-GB" w:eastAsia="en-US"/>
    </w:rPr>
  </w:style>
  <w:style w:type="paragraph" w:customStyle="1" w:styleId="Chapter">
    <w:name w:val="Chapter"/>
    <w:basedOn w:val="Normal"/>
    <w:rsid w:val="008E6E21"/>
    <w:pPr>
      <w:spacing w:before="240"/>
    </w:pPr>
    <w:rPr>
      <w:rFonts w:ascii="Times New Roman" w:hAnsi="Times New Roman"/>
      <w:smallCaps/>
      <w:spacing w:val="80"/>
      <w:sz w:val="28"/>
    </w:rPr>
  </w:style>
  <w:style w:type="paragraph" w:customStyle="1" w:styleId="InChapter">
    <w:name w:val="InChapter"/>
    <w:basedOn w:val="Heading3"/>
    <w:rsid w:val="008E6E21"/>
    <w:pPr>
      <w:spacing w:after="240"/>
      <w:outlineLvl w:val="9"/>
    </w:pPr>
    <w:rPr>
      <w:noProof/>
    </w:rPr>
  </w:style>
  <w:style w:type="paragraph" w:styleId="Index2">
    <w:name w:val="index 2"/>
    <w:basedOn w:val="Normal"/>
    <w:next w:val="Normal"/>
    <w:semiHidden/>
    <w:rsid w:val="008E6E21"/>
    <w:pPr>
      <w:tabs>
        <w:tab w:val="right" w:pos="4176"/>
      </w:tabs>
      <w:ind w:left="568" w:hanging="284"/>
    </w:pPr>
    <w:rPr>
      <w:rFonts w:ascii="Garamond" w:hAnsi="Garamond"/>
    </w:rPr>
  </w:style>
  <w:style w:type="paragraph" w:customStyle="1" w:styleId="Byline">
    <w:name w:val="Byline"/>
    <w:rsid w:val="008E6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E21"/>
    <w:pPr>
      <w:tabs>
        <w:tab w:val="clear" w:pos="3600"/>
        <w:tab w:val="clear" w:pos="3958"/>
      </w:tabs>
      <w:jc w:val="right"/>
    </w:pPr>
  </w:style>
  <w:style w:type="paragraph" w:styleId="Caption">
    <w:name w:val="caption"/>
    <w:basedOn w:val="BodyText"/>
    <w:next w:val="Normal"/>
    <w:qFormat/>
    <w:rsid w:val="008E6E21"/>
    <w:pPr>
      <w:framePr w:w="2268" w:hSpace="181" w:vSpace="181" w:wrap="around" w:vAnchor="text" w:hAnchor="page" w:x="1135" w:y="285" w:anchorLock="1"/>
    </w:pPr>
    <w:rPr>
      <w:i/>
    </w:rPr>
  </w:style>
  <w:style w:type="paragraph" w:customStyle="1" w:styleId="MiniTOCTitle">
    <w:name w:val="MiniTOCTitle"/>
    <w:basedOn w:val="Heading4"/>
    <w:rsid w:val="008E6E21"/>
    <w:pPr>
      <w:spacing w:before="240"/>
      <w:outlineLvl w:val="9"/>
    </w:pPr>
    <w:rPr>
      <w:noProof/>
      <w:sz w:val="24"/>
    </w:rPr>
  </w:style>
  <w:style w:type="paragraph" w:customStyle="1" w:styleId="MiniTOCItem">
    <w:name w:val="MiniTOCItem"/>
    <w:basedOn w:val="ListBullet"/>
    <w:rsid w:val="008E6E21"/>
    <w:pPr>
      <w:numPr>
        <w:numId w:val="0"/>
      </w:numPr>
      <w:tabs>
        <w:tab w:val="right" w:leader="dot" w:pos="6521"/>
      </w:tabs>
      <w:spacing w:before="0" w:after="0"/>
    </w:pPr>
  </w:style>
  <w:style w:type="paragraph" w:customStyle="1" w:styleId="TOFTitle">
    <w:name w:val="TOFTitle"/>
    <w:basedOn w:val="TOCTitle"/>
    <w:rsid w:val="008E6E21"/>
  </w:style>
  <w:style w:type="paragraph" w:styleId="TableofFigures">
    <w:name w:val="table of figures"/>
    <w:basedOn w:val="Normal"/>
    <w:next w:val="Normal"/>
    <w:semiHidden/>
    <w:rsid w:val="008E6E21"/>
    <w:pPr>
      <w:tabs>
        <w:tab w:val="right" w:leader="dot" w:pos="9072"/>
      </w:tabs>
      <w:ind w:left="970" w:hanging="403"/>
    </w:pPr>
    <w:rPr>
      <w:rFonts w:ascii="Times New Roman" w:hAnsi="Times New Roman"/>
      <w:b/>
    </w:rPr>
  </w:style>
  <w:style w:type="paragraph" w:styleId="ListNumber">
    <w:name w:val="List Number"/>
    <w:basedOn w:val="List"/>
    <w:rsid w:val="008E6E21"/>
    <w:pPr>
      <w:numPr>
        <w:numId w:val="13"/>
      </w:numPr>
      <w:tabs>
        <w:tab w:val="clear" w:pos="340"/>
      </w:tabs>
    </w:pPr>
  </w:style>
  <w:style w:type="character" w:customStyle="1" w:styleId="WingdingSymbols">
    <w:name w:val="Wingding Symbols"/>
    <w:rsid w:val="008E6E21"/>
    <w:rPr>
      <w:rFonts w:ascii="Wingdings" w:hAnsi="Wingdings"/>
    </w:rPr>
  </w:style>
  <w:style w:type="paragraph" w:customStyle="1" w:styleId="TableHeading">
    <w:name w:val="Table Heading"/>
    <w:basedOn w:val="HeadingBase"/>
    <w:rsid w:val="008E6E21"/>
    <w:pPr>
      <w:keepLines/>
      <w:pBdr>
        <w:bottom w:val="single" w:sz="6" w:space="1" w:color="918585"/>
      </w:pBdr>
      <w:spacing w:before="240"/>
    </w:pPr>
  </w:style>
  <w:style w:type="character" w:customStyle="1" w:styleId="HotSpot">
    <w:name w:val="HotSpot"/>
    <w:rsid w:val="008E6E21"/>
    <w:rPr>
      <w:color w:val="0033CC"/>
      <w:u w:val="none"/>
    </w:rPr>
  </w:style>
  <w:style w:type="paragraph" w:customStyle="1" w:styleId="BodyTextRight">
    <w:name w:val="Body Text Right"/>
    <w:basedOn w:val="BodyText"/>
    <w:rsid w:val="008E6E21"/>
    <w:pPr>
      <w:spacing w:before="0" w:after="0"/>
      <w:jc w:val="right"/>
    </w:pPr>
  </w:style>
  <w:style w:type="paragraph" w:styleId="Index3">
    <w:name w:val="index 3"/>
    <w:basedOn w:val="ListNumber2"/>
    <w:next w:val="Normal"/>
    <w:semiHidden/>
    <w:rsid w:val="008E6E21"/>
    <w:pPr>
      <w:numPr>
        <w:numId w:val="0"/>
      </w:numPr>
      <w:tabs>
        <w:tab w:val="right" w:leader="dot" w:pos="4176"/>
      </w:tabs>
    </w:pPr>
  </w:style>
  <w:style w:type="paragraph" w:styleId="ListNumber2">
    <w:name w:val="List Number 2"/>
    <w:basedOn w:val="List2"/>
    <w:rsid w:val="008E6E21"/>
    <w:pPr>
      <w:numPr>
        <w:numId w:val="8"/>
      </w:numPr>
      <w:tabs>
        <w:tab w:val="clear" w:pos="1060"/>
      </w:tabs>
    </w:pPr>
  </w:style>
  <w:style w:type="paragraph" w:customStyle="1" w:styleId="MarginNote">
    <w:name w:val="Margin Note"/>
    <w:basedOn w:val="BodyText"/>
    <w:rsid w:val="008E6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E21"/>
    <w:rPr>
      <w:sz w:val="32"/>
    </w:rPr>
  </w:style>
  <w:style w:type="paragraph" w:customStyle="1" w:styleId="HeadingProcedure">
    <w:name w:val="Heading Procedure"/>
    <w:basedOn w:val="HeadingBase"/>
    <w:next w:val="Normal"/>
    <w:rsid w:val="008E6E21"/>
    <w:pPr>
      <w:tabs>
        <w:tab w:val="left" w:pos="0"/>
      </w:tabs>
      <w:spacing w:before="120" w:after="60"/>
    </w:pPr>
    <w:rPr>
      <w:i/>
      <w:color w:val="918585"/>
      <w:sz w:val="22"/>
    </w:rPr>
  </w:style>
  <w:style w:type="paragraph" w:customStyle="1" w:styleId="TableBodyText">
    <w:name w:val="Table Body Text"/>
    <w:basedOn w:val="BodyText"/>
    <w:rsid w:val="008E6E21"/>
    <w:pPr>
      <w:spacing w:before="60" w:after="60"/>
    </w:pPr>
  </w:style>
  <w:style w:type="paragraph" w:styleId="ListContinue">
    <w:name w:val="List Continue"/>
    <w:basedOn w:val="List"/>
    <w:rsid w:val="008E6E21"/>
    <w:pPr>
      <w:ind w:firstLine="0"/>
    </w:pPr>
  </w:style>
  <w:style w:type="paragraph" w:customStyle="1" w:styleId="ListNote">
    <w:name w:val="List Note"/>
    <w:basedOn w:val="List"/>
    <w:rsid w:val="008E6E21"/>
    <w:pPr>
      <w:pBdr>
        <w:top w:val="single" w:sz="6" w:space="2" w:color="918585"/>
        <w:bottom w:val="single" w:sz="6" w:space="2" w:color="918585"/>
      </w:pBdr>
      <w:tabs>
        <w:tab w:val="left" w:pos="1021"/>
      </w:tabs>
      <w:ind w:firstLine="0"/>
    </w:pPr>
  </w:style>
  <w:style w:type="paragraph" w:customStyle="1" w:styleId="Warning">
    <w:name w:val="Warning"/>
    <w:basedOn w:val="BodyText"/>
    <w:rsid w:val="008E6E21"/>
    <w:pPr>
      <w:shd w:val="clear" w:color="auto" w:fill="D9D9D9"/>
      <w:tabs>
        <w:tab w:val="left" w:pos="992"/>
      </w:tabs>
      <w:ind w:left="119" w:right="119"/>
    </w:pPr>
    <w:rPr>
      <w:sz w:val="20"/>
    </w:rPr>
  </w:style>
  <w:style w:type="paragraph" w:customStyle="1" w:styleId="MarginIcons">
    <w:name w:val="Margin Icons"/>
    <w:basedOn w:val="BodyText"/>
    <w:rsid w:val="008E6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E21"/>
    <w:rPr>
      <w:rFonts w:ascii="Courier New" w:hAnsi="Courier New"/>
    </w:rPr>
  </w:style>
  <w:style w:type="paragraph" w:customStyle="1" w:styleId="NoteBullet">
    <w:name w:val="Note Bullet"/>
    <w:basedOn w:val="Note"/>
    <w:rsid w:val="008E6E21"/>
    <w:pPr>
      <w:tabs>
        <w:tab w:val="clear" w:pos="680"/>
      </w:tabs>
      <w:spacing w:before="60" w:after="60"/>
    </w:pPr>
  </w:style>
  <w:style w:type="paragraph" w:customStyle="1" w:styleId="SubHeading2">
    <w:name w:val="SubHeading2"/>
    <w:basedOn w:val="HeadingBase"/>
    <w:rsid w:val="008E6E21"/>
    <w:pPr>
      <w:spacing w:before="240" w:after="60"/>
    </w:pPr>
    <w:rPr>
      <w:sz w:val="20"/>
    </w:rPr>
  </w:style>
  <w:style w:type="paragraph" w:customStyle="1" w:styleId="SubHeading1">
    <w:name w:val="SubHeading1"/>
    <w:basedOn w:val="HeadingBase"/>
    <w:rsid w:val="008E6E21"/>
    <w:pPr>
      <w:spacing w:before="240" w:after="60"/>
    </w:pPr>
    <w:rPr>
      <w:color w:val="918585"/>
      <w:sz w:val="22"/>
    </w:rPr>
  </w:style>
  <w:style w:type="paragraph" w:customStyle="1" w:styleId="SideHeading">
    <w:name w:val="Side Heading"/>
    <w:basedOn w:val="HeadingBase"/>
    <w:rsid w:val="008E6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E21"/>
    <w:pPr>
      <w:numPr>
        <w:numId w:val="9"/>
      </w:numPr>
    </w:pPr>
  </w:style>
  <w:style w:type="paragraph" w:styleId="PlainText">
    <w:name w:val="Plain Text"/>
    <w:basedOn w:val="Normal"/>
    <w:link w:val="PlainTextChar"/>
    <w:rsid w:val="008E6E21"/>
    <w:rPr>
      <w:sz w:val="20"/>
    </w:rPr>
  </w:style>
  <w:style w:type="character" w:customStyle="1" w:styleId="PlainTextChar">
    <w:name w:val="Plain Text Char"/>
    <w:basedOn w:val="DefaultParagraphFont"/>
    <w:link w:val="PlainText"/>
    <w:rsid w:val="008E6E21"/>
    <w:rPr>
      <w:rFonts w:ascii="Courier New" w:eastAsia="Times New Roman" w:hAnsi="Courier New" w:cs="Times New Roman"/>
      <w:sz w:val="20"/>
      <w:szCs w:val="20"/>
      <w:lang w:eastAsia="en-US"/>
    </w:rPr>
  </w:style>
  <w:style w:type="character" w:customStyle="1" w:styleId="MenuOption">
    <w:name w:val="Menu Option"/>
    <w:basedOn w:val="DefaultParagraphFont"/>
    <w:rsid w:val="008E6E21"/>
    <w:rPr>
      <w:b/>
      <w:smallCaps/>
    </w:rPr>
  </w:style>
  <w:style w:type="paragraph" w:customStyle="1" w:styleId="TableListNumber">
    <w:name w:val="Table List Number"/>
    <w:basedOn w:val="ListNumber"/>
    <w:rsid w:val="008E6E21"/>
    <w:pPr>
      <w:numPr>
        <w:numId w:val="0"/>
      </w:numPr>
    </w:pPr>
  </w:style>
  <w:style w:type="paragraph" w:styleId="TOC4">
    <w:name w:val="toc 4"/>
    <w:basedOn w:val="TOCBase"/>
    <w:next w:val="Normal"/>
    <w:semiHidden/>
    <w:rsid w:val="008E6E21"/>
    <w:pPr>
      <w:tabs>
        <w:tab w:val="right" w:leader="dot" w:pos="9071"/>
      </w:tabs>
      <w:ind w:left="1701"/>
    </w:pPr>
  </w:style>
  <w:style w:type="paragraph" w:customStyle="1" w:styleId="ListAlpha">
    <w:name w:val="List Alpha"/>
    <w:basedOn w:val="List"/>
    <w:rsid w:val="008E6E21"/>
    <w:pPr>
      <w:numPr>
        <w:numId w:val="7"/>
      </w:numPr>
    </w:pPr>
  </w:style>
  <w:style w:type="paragraph" w:customStyle="1" w:styleId="ListAlpha2">
    <w:name w:val="List Alpha 2"/>
    <w:basedOn w:val="List2"/>
    <w:rsid w:val="008E6E21"/>
    <w:pPr>
      <w:numPr>
        <w:numId w:val="6"/>
      </w:numPr>
    </w:pPr>
  </w:style>
  <w:style w:type="paragraph" w:styleId="List2">
    <w:name w:val="List 2"/>
    <w:basedOn w:val="BodyText"/>
    <w:rsid w:val="008E6E21"/>
    <w:pPr>
      <w:tabs>
        <w:tab w:val="left" w:pos="680"/>
      </w:tabs>
      <w:spacing w:before="60" w:after="60"/>
      <w:ind w:left="680" w:hanging="340"/>
    </w:pPr>
  </w:style>
  <w:style w:type="paragraph" w:styleId="List3">
    <w:name w:val="List 3"/>
    <w:basedOn w:val="BodyText"/>
    <w:rsid w:val="008E6E21"/>
    <w:pPr>
      <w:tabs>
        <w:tab w:val="left" w:pos="1021"/>
      </w:tabs>
      <w:spacing w:before="60" w:after="60"/>
      <w:ind w:left="1020" w:hanging="340"/>
    </w:pPr>
  </w:style>
  <w:style w:type="paragraph" w:styleId="List4">
    <w:name w:val="List 4"/>
    <w:basedOn w:val="BodyText"/>
    <w:rsid w:val="008E6E21"/>
    <w:pPr>
      <w:tabs>
        <w:tab w:val="left" w:pos="1361"/>
      </w:tabs>
      <w:spacing w:before="60" w:after="60"/>
      <w:ind w:left="1361" w:hanging="340"/>
    </w:pPr>
  </w:style>
  <w:style w:type="paragraph" w:styleId="List5">
    <w:name w:val="List 5"/>
    <w:basedOn w:val="BodyText"/>
    <w:rsid w:val="008E6E21"/>
    <w:pPr>
      <w:tabs>
        <w:tab w:val="left" w:pos="1701"/>
      </w:tabs>
      <w:spacing w:before="60" w:after="60"/>
      <w:ind w:left="1701" w:hanging="340"/>
    </w:pPr>
  </w:style>
  <w:style w:type="paragraph" w:styleId="ListBullet3">
    <w:name w:val="List Bullet 3"/>
    <w:basedOn w:val="List3"/>
    <w:rsid w:val="008E6E21"/>
    <w:pPr>
      <w:numPr>
        <w:numId w:val="12"/>
      </w:numPr>
      <w:tabs>
        <w:tab w:val="clear" w:pos="1021"/>
      </w:tabs>
      <w:ind w:left="1037" w:hanging="357"/>
    </w:pPr>
  </w:style>
  <w:style w:type="paragraph" w:styleId="ListBullet4">
    <w:name w:val="List Bullet 4"/>
    <w:basedOn w:val="List4"/>
    <w:rsid w:val="008E6E21"/>
    <w:pPr>
      <w:numPr>
        <w:numId w:val="1"/>
      </w:numPr>
      <w:tabs>
        <w:tab w:val="clear" w:pos="1361"/>
      </w:tabs>
    </w:pPr>
  </w:style>
  <w:style w:type="paragraph" w:styleId="ListBullet5">
    <w:name w:val="List Bullet 5"/>
    <w:basedOn w:val="List5"/>
    <w:rsid w:val="008E6E21"/>
    <w:pPr>
      <w:numPr>
        <w:numId w:val="2"/>
      </w:numPr>
    </w:pPr>
  </w:style>
  <w:style w:type="paragraph" w:styleId="ListContinue2">
    <w:name w:val="List Continue 2"/>
    <w:basedOn w:val="List2"/>
    <w:rsid w:val="008E6E21"/>
    <w:pPr>
      <w:ind w:firstLine="0"/>
    </w:pPr>
  </w:style>
  <w:style w:type="paragraph" w:styleId="ListContinue3">
    <w:name w:val="List Continue 3"/>
    <w:basedOn w:val="List3"/>
    <w:rsid w:val="008E6E21"/>
    <w:pPr>
      <w:ind w:left="1021" w:firstLine="0"/>
    </w:pPr>
  </w:style>
  <w:style w:type="paragraph" w:styleId="ListContinue4">
    <w:name w:val="List Continue 4"/>
    <w:basedOn w:val="List4"/>
    <w:rsid w:val="008E6E21"/>
    <w:pPr>
      <w:ind w:firstLine="0"/>
    </w:pPr>
  </w:style>
  <w:style w:type="paragraph" w:styleId="ListContinue5">
    <w:name w:val="List Continue 5"/>
    <w:basedOn w:val="List5"/>
    <w:rsid w:val="008E6E21"/>
    <w:pPr>
      <w:ind w:firstLine="0"/>
    </w:pPr>
  </w:style>
  <w:style w:type="paragraph" w:styleId="ListNumber3">
    <w:name w:val="List Number 3"/>
    <w:basedOn w:val="List3"/>
    <w:rsid w:val="008E6E21"/>
    <w:pPr>
      <w:numPr>
        <w:numId w:val="3"/>
      </w:numPr>
    </w:pPr>
  </w:style>
  <w:style w:type="paragraph" w:styleId="ListNumber4">
    <w:name w:val="List Number 4"/>
    <w:basedOn w:val="List4"/>
    <w:rsid w:val="008E6E21"/>
    <w:pPr>
      <w:numPr>
        <w:numId w:val="4"/>
      </w:numPr>
    </w:pPr>
  </w:style>
  <w:style w:type="paragraph" w:styleId="ListNumber5">
    <w:name w:val="List Number 5"/>
    <w:basedOn w:val="List5"/>
    <w:rsid w:val="008E6E21"/>
    <w:pPr>
      <w:numPr>
        <w:numId w:val="5"/>
      </w:numPr>
    </w:pPr>
  </w:style>
  <w:style w:type="paragraph" w:styleId="BlockText">
    <w:name w:val="Block Text"/>
    <w:basedOn w:val="Normal"/>
    <w:rsid w:val="008E6E21"/>
    <w:pPr>
      <w:spacing w:after="120"/>
      <w:ind w:left="1440" w:right="1440"/>
    </w:pPr>
  </w:style>
  <w:style w:type="character" w:customStyle="1" w:styleId="Subscript">
    <w:name w:val="Subscript"/>
    <w:basedOn w:val="DefaultParagraphFont"/>
    <w:rsid w:val="008E6E21"/>
    <w:rPr>
      <w:sz w:val="16"/>
      <w:vertAlign w:val="subscript"/>
    </w:rPr>
  </w:style>
  <w:style w:type="character" w:customStyle="1" w:styleId="Superscript">
    <w:name w:val="Superscript"/>
    <w:basedOn w:val="DefaultParagraphFont"/>
    <w:rsid w:val="008E6E21"/>
    <w:rPr>
      <w:sz w:val="16"/>
      <w:vertAlign w:val="superscript"/>
    </w:rPr>
  </w:style>
  <w:style w:type="character" w:customStyle="1" w:styleId="Symbols">
    <w:name w:val="Symbols"/>
    <w:basedOn w:val="DefaultParagraphFont"/>
    <w:rsid w:val="008E6E21"/>
    <w:rPr>
      <w:rFonts w:ascii="Symbol" w:hAnsi="Symbol"/>
    </w:rPr>
  </w:style>
  <w:style w:type="character" w:customStyle="1" w:styleId="MenuOptions">
    <w:name w:val="Menu Options"/>
    <w:basedOn w:val="DefaultParagraphFont"/>
    <w:rsid w:val="008E6E21"/>
    <w:rPr>
      <w:rFonts w:ascii="Arial Narrow" w:hAnsi="Arial Narrow"/>
      <w:smallCaps/>
    </w:rPr>
  </w:style>
  <w:style w:type="character" w:customStyle="1" w:styleId="Buttons">
    <w:name w:val="Buttons"/>
    <w:basedOn w:val="DefaultParagraphFont"/>
    <w:rsid w:val="008E6E21"/>
    <w:rPr>
      <w:b/>
    </w:rPr>
  </w:style>
  <w:style w:type="character" w:customStyle="1" w:styleId="Underlined">
    <w:name w:val="Underlined"/>
    <w:basedOn w:val="DefaultParagraphFont"/>
    <w:rsid w:val="008E6E21"/>
    <w:rPr>
      <w:u w:val="single"/>
    </w:rPr>
  </w:style>
  <w:style w:type="paragraph" w:customStyle="1" w:styleId="TableBodyTextRight">
    <w:name w:val="Table Body Text Right"/>
    <w:basedOn w:val="TableBodyText"/>
    <w:rsid w:val="008E6E21"/>
    <w:pPr>
      <w:widowControl w:val="0"/>
      <w:autoSpaceDE w:val="0"/>
      <w:autoSpaceDN w:val="0"/>
      <w:adjustRightInd w:val="0"/>
      <w:jc w:val="right"/>
    </w:pPr>
    <w:rPr>
      <w:rFonts w:cs="Arial"/>
      <w:szCs w:val="18"/>
    </w:rPr>
  </w:style>
  <w:style w:type="paragraph" w:customStyle="1" w:styleId="CopyrightText">
    <w:name w:val="Copyright Text"/>
    <w:basedOn w:val="BodyText"/>
    <w:rsid w:val="008E6E21"/>
    <w:rPr>
      <w:sz w:val="18"/>
    </w:rPr>
  </w:style>
  <w:style w:type="paragraph" w:customStyle="1" w:styleId="BodySmallRight">
    <w:name w:val="Body Small Right"/>
    <w:basedOn w:val="BodyTextRight"/>
    <w:rsid w:val="008E6E21"/>
    <w:rPr>
      <w:sz w:val="18"/>
      <w:szCs w:val="18"/>
    </w:rPr>
  </w:style>
  <w:style w:type="paragraph" w:customStyle="1" w:styleId="MarginEdition">
    <w:name w:val="Margin Edition"/>
    <w:basedOn w:val="MarginNote"/>
    <w:rsid w:val="008E6E21"/>
    <w:pPr>
      <w:spacing w:before="0" w:after="0"/>
    </w:pPr>
    <w:rPr>
      <w:rFonts w:ascii="Times New Roman" w:hAnsi="Times New Roman"/>
      <w:color w:val="999999"/>
    </w:rPr>
  </w:style>
  <w:style w:type="paragraph" w:customStyle="1" w:styleId="Spacer">
    <w:name w:val="Spacer"/>
    <w:basedOn w:val="Normal"/>
    <w:rsid w:val="008E6E21"/>
    <w:rPr>
      <w:sz w:val="2"/>
      <w:szCs w:val="2"/>
    </w:rPr>
  </w:style>
  <w:style w:type="character" w:customStyle="1" w:styleId="Small">
    <w:name w:val="Small"/>
    <w:basedOn w:val="DefaultParagraphFont"/>
    <w:rsid w:val="008E6E21"/>
    <w:rPr>
      <w:sz w:val="16"/>
    </w:rPr>
  </w:style>
  <w:style w:type="paragraph" w:customStyle="1" w:styleId="WideTable">
    <w:name w:val="Wide Table"/>
    <w:basedOn w:val="Normal"/>
    <w:rsid w:val="008E6E21"/>
    <w:pPr>
      <w:ind w:left="-1418"/>
    </w:pPr>
    <w:rPr>
      <w:sz w:val="2"/>
      <w:szCs w:val="2"/>
    </w:rPr>
  </w:style>
  <w:style w:type="character" w:styleId="PageNumber">
    <w:name w:val="page number"/>
    <w:basedOn w:val="DefaultParagraphFont"/>
    <w:rsid w:val="008E6E21"/>
  </w:style>
  <w:style w:type="paragraph" w:styleId="Quote">
    <w:name w:val="Quote"/>
    <w:basedOn w:val="Heading1"/>
    <w:link w:val="QuoteChar"/>
    <w:qFormat/>
    <w:rsid w:val="008E6E21"/>
    <w:rPr>
      <w:b w:val="0"/>
      <w:sz w:val="72"/>
      <w:szCs w:val="72"/>
      <w:lang w:val="en-NZ"/>
    </w:rPr>
  </w:style>
  <w:style w:type="character" w:customStyle="1" w:styleId="QuoteChar">
    <w:name w:val="Quote Char"/>
    <w:basedOn w:val="DefaultParagraphFont"/>
    <w:link w:val="Quote"/>
    <w:rsid w:val="008E6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E21"/>
    <w:pPr>
      <w:pageBreakBefore/>
    </w:pPr>
  </w:style>
  <w:style w:type="paragraph" w:customStyle="1" w:styleId="Border">
    <w:name w:val="Border"/>
    <w:basedOn w:val="Normal"/>
    <w:qFormat/>
    <w:rsid w:val="008E6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E21"/>
    <w:rPr>
      <w:b/>
      <w:bCs/>
      <w:i/>
      <w:iCs/>
      <w:color w:val="auto"/>
    </w:rPr>
  </w:style>
  <w:style w:type="paragraph" w:styleId="IntenseQuote">
    <w:name w:val="Intense Quote"/>
    <w:basedOn w:val="Normal"/>
    <w:next w:val="Normal"/>
    <w:link w:val="IntenseQuoteChar"/>
    <w:uiPriority w:val="30"/>
    <w:qFormat/>
    <w:rsid w:val="008E6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E21"/>
    <w:rPr>
      <w:smallCaps/>
      <w:color w:val="auto"/>
      <w:u w:val="single"/>
    </w:rPr>
  </w:style>
  <w:style w:type="character" w:styleId="IntenseReference">
    <w:name w:val="Intense Reference"/>
    <w:basedOn w:val="DefaultParagraphFont"/>
    <w:uiPriority w:val="32"/>
    <w:qFormat/>
    <w:rsid w:val="008E6E21"/>
    <w:rPr>
      <w:b/>
      <w:bCs/>
      <w:smallCaps/>
      <w:color w:val="auto"/>
      <w:spacing w:val="5"/>
      <w:u w:val="single"/>
    </w:rPr>
  </w:style>
  <w:style w:type="paragraph" w:customStyle="1" w:styleId="2ColumnHeading">
    <w:name w:val="2Column Heading"/>
    <w:basedOn w:val="BodyText"/>
    <w:qFormat/>
    <w:rsid w:val="008E6E21"/>
    <w:pPr>
      <w:spacing w:after="60"/>
      <w:ind w:left="-2268"/>
    </w:pPr>
    <w:rPr>
      <w:b/>
    </w:rPr>
  </w:style>
  <w:style w:type="paragraph" w:customStyle="1" w:styleId="Heading1TOC">
    <w:name w:val="Heading1 TOC"/>
    <w:basedOn w:val="Normal"/>
    <w:qFormat/>
    <w:rsid w:val="008E6E21"/>
    <w:pPr>
      <w:spacing w:before="240" w:after="120"/>
    </w:pPr>
    <w:rPr>
      <w:rFonts w:ascii="Times New Roman" w:hAnsi="Times New Roman"/>
      <w:b/>
      <w:sz w:val="32"/>
    </w:rPr>
  </w:style>
  <w:style w:type="paragraph" w:customStyle="1" w:styleId="Heading2TOC">
    <w:name w:val="Heading2 TOC"/>
    <w:basedOn w:val="Normal"/>
    <w:qFormat/>
    <w:rsid w:val="008E6E21"/>
    <w:pPr>
      <w:spacing w:before="240" w:after="60"/>
    </w:pPr>
    <w:rPr>
      <w:rFonts w:ascii="Times New Roman" w:hAnsi="Times New Roman"/>
      <w:b/>
      <w:sz w:val="28"/>
    </w:rPr>
  </w:style>
  <w:style w:type="character" w:customStyle="1" w:styleId="Underline">
    <w:name w:val="Underline"/>
    <w:basedOn w:val="DefaultParagraphFont"/>
    <w:qFormat/>
    <w:rsid w:val="008E6E21"/>
    <w:rPr>
      <w:u w:val="single"/>
    </w:rPr>
  </w:style>
  <w:style w:type="character" w:customStyle="1" w:styleId="BoldandItalics">
    <w:name w:val="Bold and Italics"/>
    <w:qFormat/>
    <w:rsid w:val="008E6E21"/>
    <w:rPr>
      <w:b/>
      <w:i/>
      <w:u w:val="none"/>
    </w:rPr>
  </w:style>
  <w:style w:type="paragraph" w:styleId="BalloonText">
    <w:name w:val="Balloon Text"/>
    <w:basedOn w:val="Normal"/>
    <w:link w:val="BalloonTextChar"/>
    <w:rsid w:val="008E6E21"/>
    <w:rPr>
      <w:rFonts w:ascii="Tahoma" w:hAnsi="Tahoma" w:cs="Tahoma"/>
      <w:sz w:val="16"/>
      <w:szCs w:val="16"/>
    </w:rPr>
  </w:style>
  <w:style w:type="character" w:customStyle="1" w:styleId="BalloonTextChar">
    <w:name w:val="Balloon Text Char"/>
    <w:basedOn w:val="DefaultParagraphFont"/>
    <w:link w:val="BalloonText"/>
    <w:rsid w:val="008E6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E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E21"/>
    <w:rPr>
      <w:b/>
      <w:color w:val="660033"/>
      <w:spacing w:val="0"/>
    </w:rPr>
  </w:style>
  <w:style w:type="paragraph" w:customStyle="1" w:styleId="Nameditemlist">
    <w:name w:val="Named item list"/>
    <w:basedOn w:val="BodyText"/>
    <w:qFormat/>
    <w:rsid w:val="008E6E21"/>
    <w:pPr>
      <w:tabs>
        <w:tab w:val="left" w:pos="2835"/>
      </w:tabs>
      <w:ind w:left="2835" w:hanging="2835"/>
    </w:pPr>
  </w:style>
  <w:style w:type="paragraph" w:customStyle="1" w:styleId="BodyTextnopadding">
    <w:name w:val="Body Text no padding"/>
    <w:basedOn w:val="BodyText"/>
    <w:qFormat/>
    <w:rsid w:val="008E6E21"/>
    <w:pPr>
      <w:spacing w:before="0" w:after="0"/>
    </w:pPr>
  </w:style>
  <w:style w:type="paragraph" w:customStyle="1" w:styleId="BodyTextBold">
    <w:name w:val="Body Text Bold"/>
    <w:basedOn w:val="BodyText"/>
    <w:qFormat/>
    <w:rsid w:val="008E6E21"/>
    <w:rPr>
      <w:b/>
    </w:rPr>
  </w:style>
  <w:style w:type="character" w:styleId="Hyperlink">
    <w:name w:val="Hyperlink"/>
    <w:basedOn w:val="DefaultParagraphFont"/>
    <w:uiPriority w:val="99"/>
    <w:unhideWhenUsed/>
    <w:rsid w:val="00BD72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5225</Characters>
  <Application>Microsoft Office Word</Application>
  <DocSecurity>0</DocSecurity>
  <Lines>261</Lines>
  <Paragraphs>129</Paragraphs>
  <ScaleCrop>false</ScaleCrop>
  <Company>Author-it Software Corporation Ltd.</Company>
  <LinksUpToDate>false</LinksUpToDate>
  <CharactersWithSpaces>5955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CPCCDE3022 Manage demolition recyclable waste materials and contaminated soil using load shifting equipment</dc:title>
  <dc:subject>Approved</dc:subject>
  <dc:creator>BuildSkills Australia</dc:creator>
  <cp:keywords>Release: 2</cp:keywords>
  <dc:description>Review Date: 12 April 2008</dc:description>
  <cp:lastModifiedBy>HSD_TPCMSd.prod</cp:lastModifiedBy>
  <cp:revision>3</cp:revision>
  <dcterms:created xsi:type="dcterms:W3CDTF">2024-12-24T01:16:00Z</dcterms:created>
  <dcterms:modified xsi:type="dcterms:W3CDTF">2024-12-24T01:16:00Z</dcterms:modified>
</cp:coreProperties>
</file>