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C5C" w:rsidP="00C81C5C">
      <w:pPr>
        <w:pStyle w:val="Title"/>
      </w:pPr>
      <w:r>
        <w:fldChar w:fldCharType="begin"/>
      </w:r>
      <w:r>
        <w:instrText xml:space="preserve"> TITLE   \* MERGEFORMAT </w:instrText>
      </w:r>
      <w:r>
        <w:fldChar w:fldCharType="separate"/>
      </w:r>
      <w:r>
        <w:t>CPCCDE3022 Manage demolition recyclable waste materials and contaminated soil using load shifting equipment</w:t>
      </w:r>
      <w:r>
        <w:fldChar w:fldCharType="end"/>
      </w:r>
    </w:p>
    <w:p w:rsidR="00C81C5C" w:rsidP="00C81C5C">
      <w:pPr>
        <w:pStyle w:val="Version"/>
        <w:sectPr w:rsidSect="003E3E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3EE5" w:rsidP="003E3EE5">
      <w:pPr>
        <w:pStyle w:val="SuperHeading"/>
      </w:pPr>
      <w:r w:rsidRPr="003E3EE5">
        <w:t>CPCCDE3022 Manage demolition recyclable waste materials and contaminated soil using load shifting equipment</w:t>
      </w:r>
    </w:p>
    <w:p w:rsidR="00000000" w:rsidRPr="003E3EE5" w:rsidP="003E3EE5">
      <w:pPr>
        <w:pStyle w:val="Heading1"/>
      </w:pPr>
      <w:bookmarkStart w:id="1" w:name="O_1294914"/>
      <w:bookmarkEnd w:id="1"/>
      <w:r w:rsidRPr="003E3EE5">
        <w:t>Modification History</w:t>
      </w:r>
    </w:p>
    <w:tbl>
      <w:tblPr>
        <w:tblW w:w="0" w:type="auto"/>
        <w:tblLayout w:type="fixed"/>
        <w:tblCellMar>
          <w:left w:w="62" w:type="dxa"/>
          <w:right w:w="62" w:type="dxa"/>
        </w:tblCellMar>
        <w:tblLook w:val="0000"/>
      </w:tblPr>
      <w:tblGrid>
        <w:gridCol w:w="1128"/>
        <w:gridCol w:w="7944"/>
      </w:tblGrid>
      <w:tr w:rsidTr="003E3EE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Release 2</w:t>
            </w:r>
          </w:p>
        </w:tc>
        <w:tc>
          <w:tcPr>
            <w:tcW w:w="794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Updated reference to general construction induction training program.</w:t>
            </w:r>
          </w:p>
        </w:tc>
      </w:tr>
      <w:tr w:rsidTr="003E3EE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Release 1</w:t>
            </w:r>
          </w:p>
        </w:tc>
        <w:tc>
          <w:tcPr>
            <w:tcW w:w="7944" w:type="dxa"/>
            <w:tcBorders>
              <w:top w:val="nil"/>
              <w:left w:val="nil"/>
              <w:bottom w:val="nil"/>
              <w:right w:val="nil"/>
            </w:tcBorders>
            <w:tcMar>
              <w:top w:w="0" w:type="dxa"/>
              <w:left w:w="62" w:type="dxa"/>
              <w:bottom w:w="0" w:type="dxa"/>
              <w:right w:w="62" w:type="dxa"/>
            </w:tcMar>
          </w:tcPr>
          <w:p w:rsidR="00000000" w:rsidRPr="003E3EE5" w:rsidP="003E3EE5">
            <w:pPr>
              <w:pStyle w:val="BodyText"/>
            </w:pPr>
            <w:r w:rsidRPr="003E3EE5">
              <w:t>This version first released with CPC Construction, Plumbing and Services Training Package Release 5.0.</w:t>
            </w:r>
          </w:p>
          <w:p w:rsidR="00000000" w:rsidRPr="003E3EE5" w:rsidP="003E3EE5">
            <w:pPr>
              <w:pStyle w:val="BodyText"/>
            </w:pPr>
            <w:r w:rsidRPr="003E3EE5">
              <w:t>Supersedes and is equivalent to CPCCDE3022A Manage demolition recyclable and waste materials using load shifting equipment.  Updated to meet the Standard</w:t>
            </w:r>
            <w:r w:rsidRPr="003E3EE5">
              <w:t>s for Training Packages 2012.</w:t>
            </w:r>
          </w:p>
        </w:tc>
      </w:tr>
    </w:tbl>
    <w:p w:rsidR="00000000" w:rsidRPr="003E3EE5" w:rsidP="003E3EE5">
      <w:pPr>
        <w:pStyle w:val="BodyText"/>
      </w:pPr>
    </w:p>
    <w:p w:rsidR="00000000" w:rsidRPr="003E3EE5" w:rsidP="003E3EE5">
      <w:pPr>
        <w:pStyle w:val="AllowPageBreak"/>
      </w:pPr>
    </w:p>
    <w:p w:rsidR="00000000" w:rsidRPr="003E3EE5" w:rsidP="003E3EE5">
      <w:pPr>
        <w:pStyle w:val="Heading1"/>
      </w:pPr>
      <w:bookmarkStart w:id="2" w:name="O_1294913"/>
      <w:bookmarkEnd w:id="2"/>
      <w:r w:rsidRPr="003E3EE5">
        <w:t>Application</w:t>
      </w:r>
    </w:p>
    <w:p w:rsidR="00000000" w:rsidRPr="003E3EE5" w:rsidP="00C81C5C">
      <w:pPr>
        <w:pStyle w:val="BodyText"/>
      </w:pPr>
      <w:r w:rsidRPr="003E3EE5">
        <w:t>This unit of competency specifies the skills and knowledge required to organise the removal of different types of demolition recyclable and waste materials and contaminated soil. It involves th</w:t>
      </w:r>
      <w:r w:rsidRPr="003E3EE5">
        <w:t>e operation of a range of load shifting equipment on demolition sites and incorporates knowledge of recyclable materials and the safe disposal of hazardous materials.</w:t>
      </w:r>
    </w:p>
    <w:p w:rsidR="00000000" w:rsidRPr="003E3EE5" w:rsidP="00C81C5C">
      <w:pPr>
        <w:pStyle w:val="BodyText"/>
      </w:pPr>
      <w:r w:rsidRPr="003E3EE5">
        <w:t>The unit does not provide training and assessment for operation of individual items of pl</w:t>
      </w:r>
      <w:r w:rsidRPr="003E3EE5">
        <w:t xml:space="preserve">ant. </w:t>
      </w:r>
    </w:p>
    <w:p w:rsidR="00000000" w:rsidRPr="003E3EE5" w:rsidP="00C81C5C">
      <w:pPr>
        <w:pStyle w:val="BodyText"/>
      </w:pPr>
      <w:r w:rsidRPr="003E3EE5">
        <w:t>Candidates may only enrol in this unit after successfully completing separate operator training and assessment that confirms the capability of the person to safely operate the items of plant covered in this unit.</w:t>
      </w:r>
    </w:p>
    <w:p w:rsidR="00000000" w:rsidRPr="003E3EE5" w:rsidP="00C81C5C">
      <w:pPr>
        <w:pStyle w:val="BodyText"/>
      </w:pPr>
      <w:r w:rsidRPr="003E3EE5">
        <w:t>Completion of the general constructio</w:t>
      </w:r>
      <w:r w:rsidRPr="003E3EE5">
        <w:t xml:space="preserve">n induction training program specified by the model Code of Practice for Construction Work is required for any person who is to carry out construction work. Achievement of </w:t>
      </w:r>
      <w:r w:rsidRPr="003E3EE5">
        <w:rPr>
          <w:rStyle w:val="Emphasis"/>
        </w:rPr>
        <w:t>CPCWHS1001</w:t>
      </w:r>
      <w:r w:rsidRPr="003E3EE5">
        <w:t> </w:t>
      </w:r>
      <w:r w:rsidRPr="003E3EE5">
        <w:rPr>
          <w:rStyle w:val="Emphasis"/>
        </w:rPr>
        <w:t>Prepare to work safely in the construction industry</w:t>
      </w:r>
      <w:r w:rsidRPr="003E3EE5">
        <w:t> meets this requiremen</w:t>
      </w:r>
      <w:r w:rsidRPr="003E3EE5">
        <w:t>t.</w:t>
      </w:r>
    </w:p>
    <w:p w:rsidR="00000000" w:rsidRPr="003E3EE5" w:rsidP="00C81C5C">
      <w:pPr>
        <w:pStyle w:val="BodyText"/>
      </w:pPr>
      <w:r w:rsidRPr="003E3EE5">
        <w:t>Licensing, legislative, regulatory or certification requirements apply to demolition work in different states and territories. Candidates are advised to consult with the relevant regulatory authority.</w:t>
      </w:r>
    </w:p>
    <w:p w:rsidR="00000000" w:rsidRPr="003E3EE5" w:rsidP="003E3EE5">
      <w:pPr>
        <w:pStyle w:val="Heading1"/>
      </w:pPr>
      <w:bookmarkStart w:id="3" w:name="O_1294912"/>
      <w:bookmarkEnd w:id="3"/>
      <w:r w:rsidRPr="003E3EE5">
        <w:t>Pre-requisite Unit</w:t>
      </w:r>
    </w:p>
    <w:p w:rsidR="00000000" w:rsidRPr="003E3EE5" w:rsidP="00C81C5C">
      <w:pPr>
        <w:pStyle w:val="BodyText"/>
      </w:pPr>
      <w:r w:rsidRPr="003E3EE5">
        <w:t>Nil.</w:t>
      </w:r>
    </w:p>
    <w:p w:rsidR="00000000" w:rsidRPr="003E3EE5" w:rsidP="003E3EE5">
      <w:pPr>
        <w:pStyle w:val="Heading1"/>
      </w:pPr>
      <w:bookmarkStart w:id="4" w:name="O_1294911"/>
      <w:bookmarkEnd w:id="4"/>
      <w:r w:rsidRPr="003E3EE5">
        <w:t>Unit Sector</w:t>
      </w:r>
    </w:p>
    <w:p w:rsidR="00000000" w:rsidRPr="003E3EE5" w:rsidP="00C81C5C">
      <w:pPr>
        <w:pStyle w:val="BodyText"/>
      </w:pPr>
      <w:r w:rsidRPr="003E3EE5">
        <w:t>Demolition.</w:t>
      </w:r>
    </w:p>
    <w:p w:rsidR="00000000" w:rsidRPr="003E3EE5" w:rsidP="003E3EE5">
      <w:pPr>
        <w:pStyle w:val="Heading1"/>
      </w:pPr>
      <w:bookmarkStart w:id="5" w:name="O_1294910"/>
      <w:bookmarkEnd w:id="5"/>
      <w:r w:rsidRPr="003E3EE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E3EE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Performance criteria describe what needs to be done to demonstrate achievement of the element.</w:t>
            </w:r>
          </w:p>
        </w:tc>
      </w:tr>
      <w:tr w:rsidTr="003E3E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1</w:t>
            </w:r>
          </w:p>
        </w:tc>
        <w:tc>
          <w:tcPr>
            <w:tcW w:w="2357"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Plan and prepare fo</w:t>
            </w:r>
            <w:r w:rsidRPr="003E3EE5">
              <w:t>r work.</w:t>
            </w: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1.1</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Obtain work instructions using required information, confirm and apply to planning and preparation.</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1.2</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Complete tasks according to manufacturer specifications and regulatory, legislative and workplace policies and requirements.</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1.3</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Identify and apply work health and safety (WHS) requirements to task planning.</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1.4</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Select load shifting equipment, associated attachments and emergency and personal protective equipment (PPE) to maximise efficiency and effectiveness of transportation.</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1.5</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Present licence to operate specific plant to relevant personnel for compliance inspection.</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1.6</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Identify and deal with potential hazards and risks.</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1.7</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Identify and apply environmental requirements to work planning.</w:t>
            </w:r>
          </w:p>
        </w:tc>
      </w:tr>
      <w:tr w:rsidTr="003E3E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3EE5">
            <w:pPr>
              <w:pStyle w:val="BodyText"/>
              <w:rPr>
                <w:lang w:val="en-NZ"/>
              </w:rPr>
            </w:pPr>
          </w:p>
        </w:tc>
      </w:tr>
      <w:tr w:rsidTr="003E3E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2</w:t>
            </w:r>
          </w:p>
        </w:tc>
        <w:tc>
          <w:tcPr>
            <w:tcW w:w="2357"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Perform routine checks on load shifting and other equipment.</w:t>
            </w: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2.1</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Inspect load shifting equipment and rectify or report faults as required.</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2.2</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Conduct service checks and test load shifting equipment systems to ensure compliance with manufacturer specifi</w:t>
            </w:r>
            <w:r w:rsidRPr="003E3EE5">
              <w:t>cations.</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2.3</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Check emergency and PPE to ensure it is serviceable.</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2.4</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Check associated equipment to ensure that it is operational and complies with manufacturer specifications.</w:t>
            </w:r>
          </w:p>
        </w:tc>
      </w:tr>
      <w:tr w:rsidTr="003E3E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3EE5">
            <w:pPr>
              <w:pStyle w:val="BodyText"/>
              <w:rPr>
                <w:lang w:val="en-NZ"/>
              </w:rPr>
            </w:pPr>
          </w:p>
        </w:tc>
      </w:tr>
      <w:tr w:rsidTr="003E3E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3</w:t>
            </w:r>
          </w:p>
        </w:tc>
        <w:tc>
          <w:tcPr>
            <w:tcW w:w="2357"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Organise materials and equipment for loading.</w:t>
            </w: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3.1</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Confirm with relevant personnel worksite procedures for segregating and locating recyclable and waste demolition materials.</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3.2</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 xml:space="preserve">Identify recyclable materials to be loaded and check to </w:t>
            </w:r>
            <w:r w:rsidRPr="003E3EE5">
              <w:t>ensure integrity of on-site sorting, as required.</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3.3</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Identify was</w:t>
            </w:r>
            <w:r w:rsidRPr="003E3EE5">
              <w:t>te materials to be loaded and check to ensure integrity of containment, as required.</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3.4</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Determine loading procedures according to material or waste type.</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3.5</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Park load shifting equipment or set up in a loading position that ensures efficiency and safety of loading.</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3.6</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Erect barriers and warning signs at loading sites to ensure safety of surrounding personnel.</w:t>
            </w:r>
          </w:p>
        </w:tc>
      </w:tr>
      <w:tr w:rsidTr="003E3E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3EE5">
            <w:pPr>
              <w:pStyle w:val="BodyText"/>
              <w:rPr>
                <w:lang w:val="en-NZ"/>
              </w:rPr>
            </w:pPr>
          </w:p>
        </w:tc>
      </w:tr>
      <w:tr w:rsidTr="003E3E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4</w:t>
            </w:r>
          </w:p>
        </w:tc>
        <w:tc>
          <w:tcPr>
            <w:tcW w:w="2357"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Load and move materials.</w:t>
            </w: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4.1</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 xml:space="preserve">Load </w:t>
            </w:r>
            <w:r w:rsidRPr="003E3EE5">
              <w:t>materials safely and efficiently according to type and using an approved loading method to maintain integrity.</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4.2</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Maintain visual checks of load and surrounding environment to identify and avoid, minimise or remedy potential hazards.</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4.3</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Maintain clear communication with relevant personnel.</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4.4</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 xml:space="preserve">Check load to ensure it conforms to equipment capacity requirements, manufacturer specifications, and requirements of relevant legislation and codes. </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4.5</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Operate and drive equipment in a safe</w:t>
            </w:r>
            <w:r w:rsidRPr="003E3EE5">
              <w:t xml:space="preserve"> and efficient manner following all road and traffic regulations.</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4.6</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Move and secure materials safely.</w:t>
            </w:r>
          </w:p>
        </w:tc>
      </w:tr>
      <w:tr w:rsidTr="003E3E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3EE5">
            <w:pPr>
              <w:pStyle w:val="BodyText"/>
              <w:rPr>
                <w:lang w:val="en-NZ"/>
              </w:rPr>
            </w:pPr>
          </w:p>
        </w:tc>
      </w:tr>
      <w:tr w:rsidTr="003E3E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5</w:t>
            </w:r>
          </w:p>
        </w:tc>
        <w:tc>
          <w:tcPr>
            <w:tcW w:w="2357"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Unload and store materials.</w:t>
            </w: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5.1</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Unload materials safely and efficiently in designated area according to type and using an approved unloading method to maintain integrity.</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5.2</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Maintain visual checks to identify and remedy potential hazards during unloading.</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5.3</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Stack or house load at destination.</w:t>
            </w:r>
          </w:p>
        </w:tc>
      </w:tr>
      <w:tr w:rsidTr="003E3E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3EE5">
            <w:pPr>
              <w:pStyle w:val="BodyText"/>
              <w:rPr>
                <w:lang w:val="en-NZ"/>
              </w:rPr>
            </w:pPr>
          </w:p>
        </w:tc>
      </w:tr>
      <w:tr w:rsidTr="003E3E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6</w:t>
            </w:r>
          </w:p>
        </w:tc>
        <w:tc>
          <w:tcPr>
            <w:tcW w:w="2357"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Shut down and secure load shifting equipment.</w:t>
            </w: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6.1</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Park or store equipment in a safe location to avoid damage to equipment or obstruction of surrounding site activity.</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6.2</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Complete shutdown procedures.</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6.3</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Secure and store equipment in a manner that prevents unauthorised access or use.</w:t>
            </w:r>
          </w:p>
        </w:tc>
      </w:tr>
      <w:tr w:rsidTr="003E3E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3EE5">
            <w:pPr>
              <w:pStyle w:val="BodyText"/>
              <w:rPr>
                <w:lang w:val="en-NZ"/>
              </w:rPr>
            </w:pPr>
          </w:p>
        </w:tc>
      </w:tr>
      <w:tr w:rsidTr="003E3E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7</w:t>
            </w:r>
          </w:p>
        </w:tc>
        <w:tc>
          <w:tcPr>
            <w:tcW w:w="2357" w:type="dxa"/>
            <w:vMerge w:val="restart"/>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Carry out basic housekeeping and maintenance.</w:t>
            </w: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7.1</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Clean equipment to remove debris and contamination and to ensure safe operating procedures.</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7.2</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Conduct service checks.</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7.3</w:t>
            </w:r>
          </w:p>
        </w:tc>
        <w:tc>
          <w:tcPr>
            <w:tcW w:w="5659"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Report equipment faults and defects to relevant personnel.</w:t>
            </w:r>
          </w:p>
        </w:tc>
      </w:tr>
      <w:tr w:rsidTr="003E3E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7.4</w:t>
            </w:r>
          </w:p>
        </w:tc>
        <w:tc>
          <w:tcPr>
            <w:tcW w:w="5659" w:type="dxa"/>
            <w:tcBorders>
              <w:top w:val="nil"/>
              <w:left w:val="nil"/>
              <w:bottom w:val="nil"/>
              <w:right w:val="nil"/>
            </w:tcBorders>
            <w:tcMar>
              <w:top w:w="0" w:type="dxa"/>
              <w:left w:w="62" w:type="dxa"/>
              <w:bottom w:w="0" w:type="dxa"/>
              <w:right w:w="62" w:type="dxa"/>
            </w:tcMar>
          </w:tcPr>
          <w:p w:rsidR="00000000" w:rsidRPr="003E3EE5" w:rsidP="003E3EE5">
            <w:pPr>
              <w:pStyle w:val="BodyText"/>
            </w:pPr>
            <w:r w:rsidRPr="003E3EE5">
              <w:t>Complete record of moving activities promptly.</w:t>
            </w:r>
          </w:p>
        </w:tc>
      </w:tr>
    </w:tbl>
    <w:p w:rsidR="00000000" w:rsidRPr="003E3EE5" w:rsidP="003E3EE5">
      <w:pPr>
        <w:pStyle w:val="BodyText"/>
      </w:pPr>
    </w:p>
    <w:p w:rsidR="00000000" w:rsidRPr="003E3EE5" w:rsidP="003E3EE5">
      <w:pPr>
        <w:pStyle w:val="AllowPageBreak"/>
      </w:pPr>
    </w:p>
    <w:p w:rsidR="00000000" w:rsidRPr="003E3EE5" w:rsidP="003E3EE5">
      <w:pPr>
        <w:pStyle w:val="Heading1"/>
      </w:pPr>
      <w:bookmarkStart w:id="6" w:name="O_1294909"/>
      <w:bookmarkEnd w:id="6"/>
      <w:r w:rsidRPr="003E3EE5">
        <w:t>Foundation Skills</w:t>
      </w:r>
    </w:p>
    <w:p w:rsidR="00000000" w:rsidRPr="003E3EE5" w:rsidP="00C81C5C">
      <w:pPr>
        <w:pStyle w:val="BodyText"/>
      </w:pPr>
      <w:r w:rsidRPr="003E3EE5">
        <w:t xml:space="preserve">Foundation skills essential to performance are explicit in the performance criteria of this unit of competency. </w:t>
      </w:r>
    </w:p>
    <w:p w:rsidR="00000000" w:rsidRPr="003E3EE5" w:rsidP="003E3EE5">
      <w:pPr>
        <w:pStyle w:val="Heading1"/>
      </w:pPr>
      <w:bookmarkStart w:id="7" w:name="O_1294908"/>
      <w:bookmarkEnd w:id="7"/>
      <w:r w:rsidRPr="003E3EE5">
        <w:t>Unit Mapping Information</w:t>
      </w:r>
    </w:p>
    <w:p w:rsidR="00000000" w:rsidRPr="003E3EE5" w:rsidP="00C81C5C">
      <w:pPr>
        <w:pStyle w:val="BodyText"/>
      </w:pPr>
      <w:r w:rsidRPr="003E3EE5">
        <w:t xml:space="preserve">Supersedes and is equivalent to CPCCDE3022A Manage demolition recyclable and waste materials using </w:t>
      </w:r>
      <w:r w:rsidRPr="003E3EE5">
        <w:t>load shifting equipment.</w:t>
      </w:r>
    </w:p>
    <w:p w:rsidR="00000000" w:rsidRPr="003E3EE5" w:rsidP="003E3EE5">
      <w:pPr>
        <w:pStyle w:val="Heading1"/>
      </w:pPr>
      <w:bookmarkStart w:id="8" w:name="O_1294915"/>
      <w:bookmarkEnd w:id="8"/>
      <w:r w:rsidRPr="003E3EE5">
        <w:t>Links</w:t>
      </w:r>
    </w:p>
    <w:p w:rsidR="00000000" w:rsidRPr="003E3EE5" w:rsidP="00C81C5C">
      <w:pPr>
        <w:pStyle w:val="BodyText"/>
      </w:pPr>
      <w:r w:rsidRPr="003E3EE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D337B">
        <w:rPr>
          <w:rStyle w:val="Hyperlink"/>
        </w:rPr>
        <w:t>https://vetnet.gov.au/Pages/TrainingDocs.aspx?q=7e15fa6a-68b8-4097-b099-030a5569b1ad</w:t>
      </w:r>
      <w:r>
        <w:fldChar w:fldCharType="end"/>
      </w:r>
    </w:p>
    <w:p w:rsidR="00000000" w:rsidRPr="003E3EE5" w:rsidP="00C81C5C">
      <w:pPr>
        <w:pStyle w:val="BodyText"/>
        <w:sectPr w:rsidSect="003E3EE5">
          <w:headerReference w:type="default" r:id="rId10"/>
          <w:footerReference w:type="default" r:id="rId11"/>
          <w:pgSz w:w="11908" w:h="16833"/>
          <w:pgMar w:top="1702" w:right="1418" w:bottom="1702" w:left="1418" w:header="992" w:footer="992" w:gutter="0"/>
          <w:cols w:space="720"/>
          <w:noEndnote/>
          <w:docGrid w:linePitch="299"/>
        </w:sectPr>
      </w:pPr>
    </w:p>
    <w:p w:rsidR="00000000" w:rsidRPr="003E3EE5" w:rsidP="003E3EE5">
      <w:pPr>
        <w:pStyle w:val="SuperHeading"/>
      </w:pPr>
      <w:r w:rsidRPr="003E3EE5">
        <w:t>Assessment Requirements for CPCCDE3022 Manage demolition recyclable waste materials and contaminated soil using load shifting equipment</w:t>
      </w:r>
    </w:p>
    <w:p w:rsidR="00000000" w:rsidRPr="003E3EE5" w:rsidP="003E3EE5">
      <w:pPr>
        <w:pStyle w:val="Heading1"/>
      </w:pPr>
      <w:bookmarkStart w:id="9" w:name="O_1294906"/>
      <w:bookmarkEnd w:id="9"/>
      <w:r w:rsidRPr="003E3EE5">
        <w:t>Modification History</w:t>
      </w:r>
    </w:p>
    <w:tbl>
      <w:tblPr>
        <w:tblW w:w="0" w:type="auto"/>
        <w:tblLayout w:type="fixed"/>
        <w:tblCellMar>
          <w:left w:w="62" w:type="dxa"/>
          <w:right w:w="62" w:type="dxa"/>
        </w:tblCellMar>
        <w:tblLook w:val="0000"/>
      </w:tblPr>
      <w:tblGrid>
        <w:gridCol w:w="1128"/>
        <w:gridCol w:w="7944"/>
      </w:tblGrid>
      <w:tr w:rsidTr="003E3EE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Release 2</w:t>
            </w:r>
          </w:p>
        </w:tc>
        <w:tc>
          <w:tcPr>
            <w:tcW w:w="7944"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 xml:space="preserve">Updated reference to general construction induction training </w:t>
            </w:r>
            <w:r w:rsidRPr="003E3EE5">
              <w:t>program.</w:t>
            </w:r>
          </w:p>
        </w:tc>
      </w:tr>
      <w:tr w:rsidTr="003E3EE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E3EE5">
            <w:pPr>
              <w:pStyle w:val="BodyText"/>
              <w:rPr>
                <w:lang w:val="en-NZ"/>
              </w:rPr>
            </w:pPr>
            <w:r w:rsidRPr="003E3EE5">
              <w:t>Release 1</w:t>
            </w:r>
          </w:p>
        </w:tc>
        <w:tc>
          <w:tcPr>
            <w:tcW w:w="7944" w:type="dxa"/>
            <w:tcBorders>
              <w:top w:val="nil"/>
              <w:left w:val="nil"/>
              <w:bottom w:val="nil"/>
              <w:right w:val="nil"/>
            </w:tcBorders>
            <w:tcMar>
              <w:top w:w="0" w:type="dxa"/>
              <w:left w:w="62" w:type="dxa"/>
              <w:bottom w:w="0" w:type="dxa"/>
              <w:right w:w="62" w:type="dxa"/>
            </w:tcMar>
          </w:tcPr>
          <w:p w:rsidR="00000000" w:rsidRPr="003E3EE5" w:rsidP="003E3EE5">
            <w:pPr>
              <w:pStyle w:val="BodyText"/>
            </w:pPr>
            <w:r w:rsidRPr="003E3EE5">
              <w:t>This version first released with CPC Construction, Plumbing and Services Training Package Release 5.0.</w:t>
            </w:r>
          </w:p>
          <w:p w:rsidR="00000000" w:rsidRPr="003E3EE5" w:rsidP="003E3EE5">
            <w:pPr>
              <w:pStyle w:val="BodyText"/>
            </w:pPr>
            <w:r w:rsidRPr="003E3EE5">
              <w:t xml:space="preserve">Supersedes and is equivalent to CPCCDE3022A Manage demolition recyclable and waste materials using load shifting equipment.  Updated </w:t>
            </w:r>
            <w:r w:rsidRPr="003E3EE5">
              <w:t>to meet the Standards for Training Packages 2012.</w:t>
            </w:r>
          </w:p>
        </w:tc>
      </w:tr>
    </w:tbl>
    <w:p w:rsidR="00000000" w:rsidRPr="003E3EE5" w:rsidP="003E3EE5">
      <w:pPr>
        <w:pStyle w:val="BodyText"/>
      </w:pPr>
    </w:p>
    <w:p w:rsidR="00000000" w:rsidRPr="003E3EE5" w:rsidP="003E3EE5">
      <w:pPr>
        <w:pStyle w:val="AllowPageBreak"/>
      </w:pPr>
    </w:p>
    <w:p w:rsidR="00000000" w:rsidRPr="003E3EE5" w:rsidP="003E3EE5">
      <w:pPr>
        <w:pStyle w:val="Heading1"/>
      </w:pPr>
      <w:bookmarkStart w:id="10" w:name="O_1294905"/>
      <w:bookmarkEnd w:id="10"/>
      <w:r w:rsidRPr="003E3EE5">
        <w:t>Performance Evidence</w:t>
      </w:r>
    </w:p>
    <w:p w:rsidR="00000000" w:rsidRPr="003E3EE5" w:rsidP="00C81C5C">
      <w:pPr>
        <w:pStyle w:val="BodyText"/>
      </w:pPr>
      <w:r w:rsidRPr="003E3EE5">
        <w:t>To demonstrate competency in this unit, a candidate must manage a minimum of 10 cubic metres of demolition recyclable and waste materials using load shifting equipm</w:t>
      </w:r>
      <w:r w:rsidRPr="003E3EE5">
        <w:t>ent, including:</w:t>
      </w:r>
    </w:p>
    <w:p w:rsidR="00000000" w:rsidRPr="003E3EE5" w:rsidP="003E3EE5">
      <w:pPr>
        <w:pStyle w:val="ListBullet"/>
      </w:pPr>
      <w:r w:rsidRPr="003E3EE5">
        <w:t>two items of earth moving equipment from the following list:</w:t>
      </w:r>
    </w:p>
    <w:p w:rsidR="00000000" w:rsidRPr="003E3EE5" w:rsidP="003E3EE5">
      <w:pPr>
        <w:pStyle w:val="ListBullet2"/>
      </w:pPr>
      <w:r w:rsidRPr="003E3EE5">
        <w:t>dozer</w:t>
      </w:r>
    </w:p>
    <w:p w:rsidR="00000000" w:rsidRPr="003E3EE5" w:rsidP="003E3EE5">
      <w:pPr>
        <w:pStyle w:val="ListBullet2"/>
      </w:pPr>
      <w:r w:rsidRPr="003E3EE5">
        <w:t>front-end loader</w:t>
      </w:r>
    </w:p>
    <w:p w:rsidR="00000000" w:rsidRPr="003E3EE5" w:rsidP="003E3EE5">
      <w:pPr>
        <w:pStyle w:val="ListBullet2"/>
      </w:pPr>
      <w:r w:rsidRPr="003E3EE5">
        <w:t>excavator</w:t>
      </w:r>
    </w:p>
    <w:p w:rsidR="00000000" w:rsidRPr="003E3EE5" w:rsidP="003E3EE5">
      <w:pPr>
        <w:pStyle w:val="ListBullet2"/>
      </w:pPr>
      <w:r w:rsidRPr="003E3EE5">
        <w:t>skid steer loader</w:t>
      </w:r>
    </w:p>
    <w:p w:rsidR="00000000" w:rsidRPr="003E3EE5" w:rsidP="003E3EE5">
      <w:pPr>
        <w:pStyle w:val="ListBullet2"/>
      </w:pPr>
      <w:r w:rsidRPr="003E3EE5">
        <w:t>tailgate loader</w:t>
      </w:r>
    </w:p>
    <w:p w:rsidR="00000000" w:rsidRPr="003E3EE5" w:rsidP="003E3EE5">
      <w:pPr>
        <w:pStyle w:val="ListBullet"/>
      </w:pPr>
      <w:r w:rsidRPr="003E3EE5">
        <w:t>one material separator from the following list:</w:t>
      </w:r>
    </w:p>
    <w:p w:rsidR="00000000" w:rsidRPr="003E3EE5" w:rsidP="003E3EE5">
      <w:pPr>
        <w:pStyle w:val="ListBullet2"/>
      </w:pPr>
      <w:r w:rsidRPr="003E3EE5">
        <w:t>grapple</w:t>
      </w:r>
    </w:p>
    <w:p w:rsidR="00000000" w:rsidRPr="003E3EE5" w:rsidP="003E3EE5">
      <w:pPr>
        <w:pStyle w:val="ListBullet2"/>
      </w:pPr>
      <w:r w:rsidRPr="003E3EE5">
        <w:t>bucket (plant attachments), screening or skeleton</w:t>
      </w:r>
    </w:p>
    <w:p w:rsidR="00000000" w:rsidRPr="003E3EE5" w:rsidP="003E3EE5">
      <w:pPr>
        <w:pStyle w:val="ListBullet"/>
      </w:pPr>
      <w:r w:rsidRPr="003E3EE5">
        <w:t>one truck type from the following list:</w:t>
      </w:r>
    </w:p>
    <w:p w:rsidR="00000000" w:rsidRPr="003E3EE5" w:rsidP="003E3EE5">
      <w:pPr>
        <w:pStyle w:val="ListBullet3"/>
      </w:pPr>
      <w:r w:rsidRPr="003E3EE5">
        <w:t>articulated truck</w:t>
      </w:r>
    </w:p>
    <w:p w:rsidR="00000000" w:rsidRPr="003E3EE5" w:rsidP="003E3EE5">
      <w:pPr>
        <w:pStyle w:val="ListBullet3"/>
      </w:pPr>
      <w:r w:rsidRPr="003E3EE5">
        <w:t>open-bodied truck, including hook lift, pump and vacuum</w:t>
      </w:r>
    </w:p>
    <w:p w:rsidR="00000000" w:rsidRPr="003E3EE5" w:rsidP="003E3EE5">
      <w:pPr>
        <w:pStyle w:val="ListBullet3"/>
      </w:pPr>
      <w:r w:rsidRPr="003E3EE5">
        <w:t>rigid truck.</w:t>
      </w:r>
    </w:p>
    <w:p w:rsidR="00000000" w:rsidRPr="003E3EE5" w:rsidP="00C81C5C">
      <w:pPr>
        <w:pStyle w:val="BodyText"/>
      </w:pPr>
      <w:r w:rsidRPr="003E3EE5">
        <w:t>In doing this, the candidate must meet the performance criteria for this unit.</w:t>
      </w:r>
    </w:p>
    <w:p w:rsidR="00000000" w:rsidRPr="003E3EE5" w:rsidP="003E3EE5">
      <w:pPr>
        <w:pStyle w:val="Heading1"/>
      </w:pPr>
      <w:bookmarkStart w:id="11" w:name="O_1294904"/>
      <w:bookmarkEnd w:id="11"/>
      <w:r w:rsidRPr="003E3EE5">
        <w:t>Knowledge Evidence</w:t>
      </w:r>
    </w:p>
    <w:p w:rsidR="00000000" w:rsidRPr="003E3EE5" w:rsidP="00C81C5C">
      <w:pPr>
        <w:pStyle w:val="BodyText"/>
      </w:pPr>
      <w:r w:rsidRPr="003E3EE5">
        <w:t>To be competent in this unit, a candidate must demonstrate knowledge of:</w:t>
      </w:r>
    </w:p>
    <w:p w:rsidR="00000000" w:rsidRPr="003E3EE5" w:rsidP="003E3EE5">
      <w:pPr>
        <w:pStyle w:val="ListBullet"/>
      </w:pPr>
      <w:r w:rsidRPr="003E3EE5">
        <w:t>the compliance requirements of the relevant Australian Standards, Building Code of Australia (BCA), model codes of practice, environmental and work health and safety (WHS) legislatio</w:t>
      </w:r>
      <w:r w:rsidRPr="003E3EE5">
        <w:t>n</w:t>
      </w:r>
    </w:p>
    <w:p w:rsidR="00000000" w:rsidRPr="003E3EE5" w:rsidP="003E3EE5">
      <w:pPr>
        <w:pStyle w:val="ListBullet"/>
      </w:pPr>
      <w:r w:rsidRPr="003E3EE5">
        <w:t>compliance requirements for handling and transporting materials, which include dangerous goods and hazardous substances</w:t>
      </w:r>
    </w:p>
    <w:p w:rsidR="00000000" w:rsidRPr="003E3EE5" w:rsidP="003E3EE5">
      <w:pPr>
        <w:pStyle w:val="ListBullet"/>
      </w:pPr>
      <w:r w:rsidRPr="003E3EE5">
        <w:t xml:space="preserve">driving procedures for different types of load shifting equipment, including: </w:t>
      </w:r>
    </w:p>
    <w:p w:rsidR="00000000" w:rsidRPr="003E3EE5" w:rsidP="003E3EE5">
      <w:pPr>
        <w:pStyle w:val="ListBullet2"/>
      </w:pPr>
      <w:r w:rsidRPr="003E3EE5">
        <w:t xml:space="preserve">licence requirements </w:t>
      </w:r>
    </w:p>
    <w:p w:rsidR="00000000" w:rsidRPr="003E3EE5" w:rsidP="003E3EE5">
      <w:pPr>
        <w:pStyle w:val="ListBullet2"/>
      </w:pPr>
      <w:r w:rsidRPr="003E3EE5">
        <w:t xml:space="preserve">map reading </w:t>
      </w:r>
    </w:p>
    <w:p w:rsidR="00000000" w:rsidRPr="003E3EE5" w:rsidP="003E3EE5">
      <w:pPr>
        <w:pStyle w:val="ListBullet2"/>
      </w:pPr>
      <w:r w:rsidRPr="003E3EE5">
        <w:t>road laws</w:t>
      </w:r>
    </w:p>
    <w:p w:rsidR="00000000" w:rsidRPr="003E3EE5" w:rsidP="003E3EE5">
      <w:pPr>
        <w:pStyle w:val="ListBullet"/>
      </w:pPr>
      <w:r w:rsidRPr="003E3EE5">
        <w:t>hazards and risks associated with handling and transporting materials and management strategies:</w:t>
      </w:r>
    </w:p>
    <w:p w:rsidR="00000000" w:rsidRPr="003E3EE5" w:rsidP="003E3EE5">
      <w:pPr>
        <w:pStyle w:val="ListBullet2"/>
      </w:pPr>
      <w:r w:rsidRPr="003E3EE5">
        <w:t xml:space="preserve">emergency response procedures </w:t>
      </w:r>
    </w:p>
    <w:p w:rsidR="00000000" w:rsidRPr="003E3EE5" w:rsidP="003E3EE5">
      <w:pPr>
        <w:pStyle w:val="ListBullet2"/>
      </w:pPr>
      <w:r w:rsidRPr="003E3EE5">
        <w:t>hierarchy of control</w:t>
      </w:r>
    </w:p>
    <w:p w:rsidR="00000000" w:rsidRPr="003E3EE5" w:rsidP="003E3EE5">
      <w:pPr>
        <w:pStyle w:val="ListBullet"/>
      </w:pPr>
      <w:r w:rsidRPr="003E3EE5">
        <w:t>manual and mechanical loading and unloading methods</w:t>
      </w:r>
    </w:p>
    <w:p w:rsidR="00000000" w:rsidRPr="003E3EE5" w:rsidP="003E3EE5">
      <w:pPr>
        <w:pStyle w:val="ListBullet"/>
      </w:pPr>
      <w:r w:rsidRPr="003E3EE5">
        <w:t xml:space="preserve">types of loading equipment, including equipment load </w:t>
      </w:r>
      <w:r w:rsidRPr="003E3EE5">
        <w:t>weight requirements.</w:t>
      </w:r>
    </w:p>
    <w:p w:rsidR="00000000" w:rsidRPr="003E3EE5" w:rsidP="003E3EE5">
      <w:pPr>
        <w:pStyle w:val="AllowPageBreak"/>
      </w:pPr>
    </w:p>
    <w:p w:rsidR="00000000" w:rsidRPr="003E3EE5" w:rsidP="003E3EE5">
      <w:pPr>
        <w:pStyle w:val="Heading1"/>
      </w:pPr>
      <w:bookmarkStart w:id="12" w:name="O_1294903"/>
      <w:bookmarkEnd w:id="12"/>
      <w:r w:rsidRPr="003E3EE5">
        <w:t>Assessment Conditions</w:t>
      </w:r>
    </w:p>
    <w:p w:rsidR="00000000" w:rsidRPr="003E3EE5" w:rsidP="00C81C5C">
      <w:pPr>
        <w:pStyle w:val="BodyText"/>
      </w:pPr>
      <w:r w:rsidRPr="003E3EE5">
        <w:t xml:space="preserve">Assessors must satisfy the requirements for assessors contained in the Standards for Registered Training Organisations. </w:t>
      </w:r>
    </w:p>
    <w:p w:rsidR="00000000" w:rsidRPr="003E3EE5" w:rsidP="00C81C5C">
      <w:pPr>
        <w:pStyle w:val="BodyText"/>
      </w:pPr>
      <w:r w:rsidRPr="003E3EE5">
        <w:t>Assessment of performance must be undertaken in the workplace or in a sim</w:t>
      </w:r>
      <w:r w:rsidRPr="003E3EE5">
        <w:t xml:space="preserve">ulated workplace environment. </w:t>
      </w:r>
    </w:p>
    <w:p w:rsidR="00000000" w:rsidRPr="003E3EE5" w:rsidP="00C81C5C">
      <w:pPr>
        <w:pStyle w:val="BodyText"/>
      </w:pPr>
      <w:r w:rsidRPr="003E3EE5">
        <w:t>Assessors are responsible for ensuring that the candidate has access to:</w:t>
      </w:r>
    </w:p>
    <w:p w:rsidR="00000000" w:rsidRPr="003E3EE5" w:rsidP="003E3EE5">
      <w:pPr>
        <w:pStyle w:val="ListBullet"/>
      </w:pPr>
      <w:r w:rsidRPr="003E3EE5">
        <w:t>worksite/s and specifications for managing demolition recyclable and waste materials using load shifting equipment</w:t>
      </w:r>
    </w:p>
    <w:p w:rsidR="00000000" w:rsidRPr="003E3EE5" w:rsidP="003E3EE5">
      <w:pPr>
        <w:pStyle w:val="ListBullet"/>
      </w:pPr>
      <w:r w:rsidRPr="003E3EE5">
        <w:t>appropriate documents, materials, tools, equipment and personal protective equipment (PPE) currently used in industry</w:t>
      </w:r>
    </w:p>
    <w:p w:rsidR="00000000" w:rsidRPr="003E3EE5" w:rsidP="003E3EE5">
      <w:pPr>
        <w:pStyle w:val="ListBullet"/>
      </w:pPr>
      <w:r w:rsidRPr="003E3EE5">
        <w:t>requirements of workplace policies, procedures and demolition plans.</w:t>
      </w:r>
    </w:p>
    <w:p w:rsidR="00000000" w:rsidRPr="003E3EE5" w:rsidP="003E3EE5">
      <w:pPr>
        <w:pStyle w:val="AllowPageBreak"/>
      </w:pPr>
    </w:p>
    <w:p w:rsidR="00000000" w:rsidRPr="003E3EE5" w:rsidP="003E3EE5">
      <w:pPr>
        <w:pStyle w:val="Heading1"/>
      </w:pPr>
      <w:bookmarkStart w:id="13" w:name="O_1294916"/>
      <w:bookmarkEnd w:id="13"/>
      <w:r w:rsidRPr="003E3EE5">
        <w:t>Links</w:t>
      </w:r>
    </w:p>
    <w:p w:rsidR="00000000" w:rsidRPr="003E3EE5" w:rsidP="00C81C5C">
      <w:pPr>
        <w:pStyle w:val="BodyText"/>
      </w:pPr>
      <w:r w:rsidRPr="003E3EE5">
        <w:t>Companion volumes to this training package a</w:t>
      </w:r>
      <w:r w:rsidRPr="003E3EE5">
        <w:t xml:space="preserve">re available at the VETNet website - </w:t>
      </w:r>
      <w:r>
        <w:fldChar w:fldCharType="begin"/>
      </w:r>
      <w:r>
        <w:instrText xml:space="preserve"> HYPERLINK "https://vetnet.gov.au/Pages/TrainingDocs.aspx?q=7e15fa6a-68b8-4097-b099-030a5569b1ad" </w:instrText>
      </w:r>
      <w:r>
        <w:fldChar w:fldCharType="separate"/>
      </w:r>
      <w:r w:rsidRPr="004D337B">
        <w:rPr>
          <w:rStyle w:val="Hyperlink"/>
        </w:rPr>
        <w:t>https://vetnet.gov.au/Pages/TrainingDocs.aspx?q=7e15fa6a-68b8-4097-b099-030a5569b1ad</w:t>
      </w:r>
      <w:r>
        <w:fldChar w:fldCharType="end"/>
      </w:r>
    </w:p>
    <w:p w:rsidR="00000000" w:rsidRPr="003E3EE5" w:rsidP="003E3EE5"/>
    <w:sectPr w:rsidSect="003E3E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5" w:rsidRPr="00C81C5C" w:rsidP="00C81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C5C" w:rsidP="003E3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81C5C" w:rsidP="003E3E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81C5C" w:rsidP="003E3E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5" w:rsidP="003E3EE5">
    <w:pPr>
      <w:pStyle w:val="Footer"/>
      <w:framePr w:wrap="around"/>
    </w:pPr>
    <w:r>
      <w:fldChar w:fldCharType="begin"/>
    </w:r>
    <w:r>
      <w:instrText xml:space="preserve"> DOCPROPERTY  Subject  \* MERGEFORMAT </w:instrText>
    </w:r>
    <w:r>
      <w:fldChar w:fldCharType="separate"/>
    </w:r>
    <w:r w:rsidR="00C81C5C">
      <w:t>Approved</w:t>
    </w:r>
    <w:r w:rsidR="00C81C5C">
      <w:fldChar w:fldCharType="end"/>
    </w:r>
    <w:r>
      <w:tab/>
      <w:t xml:space="preserve">Page </w:t>
    </w:r>
    <w:r>
      <w:fldChar w:fldCharType="begin"/>
    </w:r>
    <w:r>
      <w:instrText xml:space="preserve"> PAGE  \* Arabic  \* MERGEFORMAT </w:instrText>
    </w:r>
    <w:r>
      <w:fldChar w:fldCharType="separate"/>
    </w:r>
    <w:r w:rsidR="00C81C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1C5C">
      <w:rPr>
        <w:noProof/>
      </w:rPr>
      <w:t>5</w:t>
    </w:r>
    <w:r>
      <w:rPr>
        <w:noProof/>
      </w:rPr>
      <w:fldChar w:fldCharType="end"/>
    </w:r>
  </w:p>
  <w:p w:rsidR="003E3EE5" w:rsidP="003E3EE5">
    <w:pPr>
      <w:pStyle w:val="Footer"/>
      <w:framePr w:wrap="around"/>
    </w:pPr>
    <w:r>
      <w:t xml:space="preserve">© Commonwealth of Australia, </w:t>
    </w:r>
    <w:r>
      <w:fldChar w:fldCharType="begin"/>
    </w:r>
    <w:r>
      <w:instrText xml:space="preserve"> DATE  \@ "yyyy"  \* MERGEFORMAT </w:instrText>
    </w:r>
    <w:r>
      <w:fldChar w:fldCharType="separate"/>
    </w:r>
    <w:r w:rsidR="00C81C5C">
      <w:rPr>
        <w:noProof/>
      </w:rPr>
      <w:t>2025</w:t>
    </w:r>
    <w:r>
      <w:fldChar w:fldCharType="end"/>
    </w:r>
    <w:r>
      <w:tab/>
    </w:r>
    <w:r>
      <w:fldChar w:fldCharType="begin"/>
    </w:r>
    <w:r>
      <w:instrText xml:space="preserve"> DOCPROPERTY  Author  \* MERGEFORMAT </w:instrText>
    </w:r>
    <w:r>
      <w:fldChar w:fldCharType="separate"/>
    </w:r>
    <w:r w:rsidR="00C81C5C">
      <w:t>BuildSkills Australia</w:t>
    </w:r>
    <w:r w:rsidR="00C81C5C">
      <w:fldChar w:fldCharType="end"/>
    </w:r>
  </w:p>
  <w:p w:rsidR="003E3EE5" w:rsidP="003E3E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EE5" w:rsidRPr="00C81C5C" w:rsidP="00C81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C5C" w:rsidRPr="002D2AF8" w:rsidP="003E3EE5">
    <w:pPr>
      <w:pStyle w:val="Header"/>
      <w:framePr w:wrap="around"/>
    </w:pPr>
    <w:r>
      <w:fldChar w:fldCharType="begin"/>
    </w:r>
    <w:r>
      <w:instrText xml:space="preserve"> TITLE   \* MERGEFORMAT </w:instrText>
    </w:r>
    <w:r>
      <w:fldChar w:fldCharType="separate"/>
    </w:r>
    <w:r>
      <w:t>CPCCDE3022 Manage demolition recyclable waste materials and contaminated soil using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1C5C" w:rsidP="003E3E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E5" w:rsidRPr="002D2AF8" w:rsidP="003E3EE5">
    <w:pPr>
      <w:pStyle w:val="Header"/>
      <w:framePr w:wrap="around"/>
    </w:pPr>
    <w:r>
      <w:fldChar w:fldCharType="begin"/>
    </w:r>
    <w:r>
      <w:instrText xml:space="preserve"> TITLE   \* MERGEFORMAT </w:instrText>
    </w:r>
    <w:r>
      <w:fldChar w:fldCharType="separate"/>
    </w:r>
    <w:r w:rsidR="00C81C5C">
      <w:t>CPCCDE3022 Manage demolition recyclable waste materials and contaminated soil using load shifting equipment</w:t>
    </w:r>
    <w:r w:rsidR="00C81C5C">
      <w:fldChar w:fldCharType="end"/>
    </w:r>
    <w:r>
      <w:tab/>
      <w:t xml:space="preserve">Date this document was generated: </w:t>
    </w:r>
    <w:r>
      <w:fldChar w:fldCharType="begin"/>
    </w:r>
    <w:r>
      <w:instrText xml:space="preserve"> CREATEDATE  \@ "d MMMM yyyy"  \* MERGEFORMAT </w:instrText>
    </w:r>
    <w:r>
      <w:fldChar w:fldCharType="separate"/>
    </w:r>
    <w:r w:rsidR="00C81C5C">
      <w:rPr>
        <w:noProof/>
      </w:rPr>
      <w:t>2 March 2025</w:t>
    </w:r>
    <w:r>
      <w:fldChar w:fldCharType="end"/>
    </w:r>
  </w:p>
  <w:p w:rsidR="003E3EE5" w:rsidP="003E3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D07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6A1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A6C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EE5"/>
    <w:pPr>
      <w:spacing w:before="360" w:after="60"/>
      <w:outlineLvl w:val="0"/>
    </w:pPr>
    <w:rPr>
      <w:sz w:val="32"/>
    </w:rPr>
  </w:style>
  <w:style w:type="paragraph" w:styleId="Heading2">
    <w:name w:val="heading 2"/>
    <w:basedOn w:val="HeadingBase"/>
    <w:next w:val="BodyText"/>
    <w:link w:val="Heading2Char"/>
    <w:qFormat/>
    <w:rsid w:val="003E3EE5"/>
    <w:pPr>
      <w:keepLines/>
      <w:spacing w:before="240" w:after="120"/>
      <w:outlineLvl w:val="1"/>
    </w:pPr>
    <w:rPr>
      <w:sz w:val="28"/>
      <w:szCs w:val="40"/>
    </w:rPr>
  </w:style>
  <w:style w:type="paragraph" w:styleId="Heading3">
    <w:name w:val="heading 3"/>
    <w:basedOn w:val="HeadingBase"/>
    <w:next w:val="BodyText"/>
    <w:link w:val="Heading3Char"/>
    <w:qFormat/>
    <w:rsid w:val="003E3EE5"/>
    <w:pPr>
      <w:spacing w:before="180" w:after="120"/>
      <w:outlineLvl w:val="2"/>
    </w:pPr>
    <w:rPr>
      <w:spacing w:val="-10"/>
      <w:kern w:val="32"/>
    </w:rPr>
  </w:style>
  <w:style w:type="paragraph" w:styleId="Heading4">
    <w:name w:val="heading 4"/>
    <w:basedOn w:val="HeadingBase"/>
    <w:next w:val="BodyText"/>
    <w:link w:val="Heading4Char"/>
    <w:qFormat/>
    <w:rsid w:val="003E3EE5"/>
    <w:pPr>
      <w:spacing w:before="160" w:after="120"/>
      <w:outlineLvl w:val="3"/>
    </w:pPr>
    <w:rPr>
      <w:sz w:val="22"/>
    </w:rPr>
  </w:style>
  <w:style w:type="paragraph" w:styleId="Heading5">
    <w:name w:val="heading 5"/>
    <w:basedOn w:val="HeadingBase"/>
    <w:next w:val="Normal"/>
    <w:link w:val="Heading5Char"/>
    <w:qFormat/>
    <w:rsid w:val="003E3EE5"/>
    <w:pPr>
      <w:spacing w:before="80"/>
      <w:outlineLvl w:val="4"/>
    </w:pPr>
    <w:rPr>
      <w:color w:val="918585"/>
      <w:sz w:val="20"/>
    </w:rPr>
  </w:style>
  <w:style w:type="paragraph" w:styleId="Heading6">
    <w:name w:val="heading 6"/>
    <w:basedOn w:val="HeadingBase"/>
    <w:next w:val="Normal"/>
    <w:link w:val="Heading6Char"/>
    <w:qFormat/>
    <w:rsid w:val="003E3EE5"/>
    <w:pPr>
      <w:spacing w:before="60"/>
      <w:outlineLvl w:val="5"/>
    </w:pPr>
    <w:rPr>
      <w:color w:val="918585"/>
      <w:sz w:val="20"/>
    </w:rPr>
  </w:style>
  <w:style w:type="paragraph" w:styleId="Heading7">
    <w:name w:val="heading 7"/>
    <w:basedOn w:val="Normal"/>
    <w:next w:val="Normal"/>
    <w:link w:val="Heading7Char"/>
    <w:qFormat/>
    <w:rsid w:val="003E3EE5"/>
    <w:pPr>
      <w:ind w:left="720"/>
      <w:outlineLvl w:val="6"/>
    </w:pPr>
    <w:rPr>
      <w:i/>
    </w:rPr>
  </w:style>
  <w:style w:type="paragraph" w:styleId="Heading8">
    <w:name w:val="heading 8"/>
    <w:basedOn w:val="Normal"/>
    <w:next w:val="Normal"/>
    <w:link w:val="Heading8Char"/>
    <w:qFormat/>
    <w:rsid w:val="003E3EE5"/>
    <w:pPr>
      <w:ind w:left="720"/>
      <w:outlineLvl w:val="7"/>
    </w:pPr>
    <w:rPr>
      <w:i/>
    </w:rPr>
  </w:style>
  <w:style w:type="paragraph" w:styleId="Heading9">
    <w:name w:val="heading 9"/>
    <w:basedOn w:val="Normal"/>
    <w:next w:val="Normal"/>
    <w:link w:val="Heading9Char"/>
    <w:qFormat/>
    <w:rsid w:val="003E3EE5"/>
    <w:pPr>
      <w:ind w:left="720"/>
      <w:outlineLvl w:val="8"/>
    </w:pPr>
    <w:rPr>
      <w:i/>
    </w:rPr>
  </w:style>
  <w:style w:type="character" w:default="1" w:styleId="DefaultParagraphFont">
    <w:name w:val="Default Paragraph Font"/>
    <w:uiPriority w:val="1"/>
    <w:unhideWhenUsed/>
    <w:rsid w:val="003E3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EE5"/>
  </w:style>
  <w:style w:type="character" w:customStyle="1" w:styleId="Heading1Char">
    <w:name w:val="Heading 1 Char"/>
    <w:basedOn w:val="DefaultParagraphFont"/>
    <w:link w:val="Heading1"/>
    <w:rsid w:val="003E3EE5"/>
    <w:rPr>
      <w:rFonts w:ascii="Times New Roman" w:eastAsia="Times New Roman" w:hAnsi="Times New Roman" w:cs="Times New Roman"/>
      <w:b/>
      <w:sz w:val="32"/>
      <w:szCs w:val="20"/>
      <w:lang w:eastAsia="en-US"/>
    </w:rPr>
  </w:style>
  <w:style w:type="paragraph" w:styleId="BodyText">
    <w:name w:val="Body Text"/>
    <w:basedOn w:val="Normal"/>
    <w:link w:val="BodyTextChar"/>
    <w:rsid w:val="003E3E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EE5"/>
    <w:rPr>
      <w:rFonts w:ascii="Times New Roman" w:eastAsia="Times New Roman" w:hAnsi="Times New Roman" w:cs="Times New Roman"/>
      <w:sz w:val="24"/>
      <w:lang w:eastAsia="en-US"/>
    </w:rPr>
  </w:style>
  <w:style w:type="paragraph" w:styleId="ListBullet">
    <w:name w:val="List Bullet"/>
    <w:basedOn w:val="List"/>
    <w:rsid w:val="003E3EE5"/>
    <w:pPr>
      <w:numPr>
        <w:numId w:val="13"/>
      </w:numPr>
      <w:tabs>
        <w:tab w:val="clear" w:pos="340"/>
      </w:tabs>
      <w:spacing w:before="40" w:after="40"/>
    </w:pPr>
  </w:style>
  <w:style w:type="paragraph" w:styleId="ListBullet2">
    <w:name w:val="List Bullet 2"/>
    <w:basedOn w:val="List2"/>
    <w:rsid w:val="003E3EE5"/>
    <w:pPr>
      <w:numPr>
        <w:numId w:val="14"/>
      </w:numPr>
      <w:tabs>
        <w:tab w:val="clear" w:pos="680"/>
      </w:tabs>
    </w:pPr>
  </w:style>
  <w:style w:type="character" w:styleId="Emphasis">
    <w:name w:val="Emphasis"/>
    <w:basedOn w:val="DefaultParagraphFont"/>
    <w:qFormat/>
    <w:rsid w:val="003E3EE5"/>
    <w:rPr>
      <w:i/>
    </w:rPr>
  </w:style>
  <w:style w:type="paragraph" w:customStyle="1" w:styleId="SuperHeading">
    <w:name w:val="SuperHeading"/>
    <w:basedOn w:val="Normal"/>
    <w:rsid w:val="003E3EE5"/>
    <w:pPr>
      <w:spacing w:before="240" w:after="120"/>
      <w:outlineLvl w:val="0"/>
    </w:pPr>
    <w:rPr>
      <w:rFonts w:ascii="Times New Roman" w:hAnsi="Times New Roman"/>
      <w:b/>
      <w:sz w:val="32"/>
    </w:rPr>
  </w:style>
  <w:style w:type="paragraph" w:customStyle="1" w:styleId="AllowPageBreak">
    <w:name w:val="AllowPageBreak"/>
    <w:rsid w:val="003E3E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3EE5"/>
    <w:pPr>
      <w:numPr>
        <w:numId w:val="3"/>
      </w:numPr>
      <w:tabs>
        <w:tab w:val="clear" w:pos="1021"/>
      </w:tabs>
      <w:ind w:left="1037" w:hanging="357"/>
    </w:pPr>
  </w:style>
  <w:style w:type="character" w:customStyle="1" w:styleId="Heading2Char">
    <w:name w:val="Heading 2 Char"/>
    <w:basedOn w:val="DefaultParagraphFont"/>
    <w:link w:val="Heading2"/>
    <w:rsid w:val="003E3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EE5"/>
    <w:rPr>
      <w:rFonts w:ascii="Courier New" w:eastAsia="Times New Roman" w:hAnsi="Courier New" w:cs="Times New Roman"/>
      <w:i/>
      <w:szCs w:val="20"/>
      <w:lang w:eastAsia="en-US"/>
    </w:rPr>
  </w:style>
  <w:style w:type="paragraph" w:customStyle="1" w:styleId="HeadingBase">
    <w:name w:val="Heading Base"/>
    <w:rsid w:val="003E3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EE5"/>
    <w:pPr>
      <w:tabs>
        <w:tab w:val="right" w:leader="dot" w:pos="9072"/>
      </w:tabs>
      <w:ind w:left="567"/>
    </w:pPr>
    <w:rPr>
      <w:szCs w:val="22"/>
    </w:rPr>
  </w:style>
  <w:style w:type="paragraph" w:customStyle="1" w:styleId="TOCBase">
    <w:name w:val="TOC Base"/>
    <w:rsid w:val="003E3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EE5"/>
    <w:pPr>
      <w:tabs>
        <w:tab w:val="right" w:leader="dot" w:pos="9072"/>
      </w:tabs>
      <w:spacing w:before="40" w:after="40"/>
      <w:ind w:left="284"/>
    </w:pPr>
    <w:rPr>
      <w:rFonts w:ascii="Times New Roman" w:hAnsi="Times New Roman"/>
    </w:rPr>
  </w:style>
  <w:style w:type="paragraph" w:styleId="TOC1">
    <w:name w:val="toc 1"/>
    <w:basedOn w:val="TOCBase"/>
    <w:next w:val="Normal"/>
    <w:rsid w:val="003E3E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EE5"/>
    <w:rPr>
      <w:rFonts w:ascii="Times New Roman" w:eastAsia="Times New Roman" w:hAnsi="Times New Roman" w:cs="Times New Roman"/>
      <w:sz w:val="16"/>
      <w:lang w:eastAsia="en-US"/>
    </w:rPr>
  </w:style>
  <w:style w:type="paragraph" w:styleId="Title">
    <w:name w:val="Title"/>
    <w:basedOn w:val="HeadingBase"/>
    <w:link w:val="TitleChar"/>
    <w:qFormat/>
    <w:rsid w:val="003E3EE5"/>
    <w:pPr>
      <w:spacing w:before="5040"/>
      <w:jc w:val="center"/>
    </w:pPr>
    <w:rPr>
      <w:sz w:val="48"/>
      <w:szCs w:val="72"/>
      <w:lang w:val="en-US"/>
    </w:rPr>
  </w:style>
  <w:style w:type="character" w:customStyle="1" w:styleId="TitleChar">
    <w:name w:val="Title Char"/>
    <w:basedOn w:val="DefaultParagraphFont"/>
    <w:link w:val="Title"/>
    <w:rsid w:val="003E3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EE5"/>
    <w:pPr>
      <w:tabs>
        <w:tab w:val="left" w:pos="3600"/>
        <w:tab w:val="left" w:pos="3958"/>
      </w:tabs>
    </w:pPr>
  </w:style>
  <w:style w:type="paragraph" w:styleId="List">
    <w:name w:val="List"/>
    <w:basedOn w:val="BodyText"/>
    <w:next w:val="BodyText"/>
    <w:rsid w:val="003E3EE5"/>
    <w:pPr>
      <w:tabs>
        <w:tab w:val="left" w:pos="340"/>
      </w:tabs>
      <w:spacing w:before="60" w:after="60"/>
      <w:ind w:left="340" w:hanging="340"/>
    </w:pPr>
  </w:style>
  <w:style w:type="paragraph" w:customStyle="1" w:styleId="Note">
    <w:name w:val="Note"/>
    <w:basedOn w:val="BodyText"/>
    <w:rsid w:val="003E3E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3EE5"/>
    <w:rPr>
      <w:b/>
      <w:spacing w:val="0"/>
    </w:rPr>
  </w:style>
  <w:style w:type="paragraph" w:customStyle="1" w:styleId="SuperTitle">
    <w:name w:val="SuperTitle"/>
    <w:basedOn w:val="Title"/>
    <w:rsid w:val="003E3EE5"/>
    <w:pPr>
      <w:framePr w:wrap="auto" w:hAnchor="text" w:y="6049"/>
    </w:pPr>
    <w:rPr>
      <w:color w:val="000000"/>
      <w:sz w:val="40"/>
    </w:rPr>
  </w:style>
  <w:style w:type="paragraph" w:customStyle="1" w:styleId="TOCTitle">
    <w:name w:val="TOCTitle"/>
    <w:basedOn w:val="Heading1"/>
    <w:rsid w:val="003E3EE5"/>
    <w:pPr>
      <w:spacing w:after="240"/>
      <w:jc w:val="center"/>
      <w:outlineLvl w:val="9"/>
    </w:pPr>
    <w:rPr>
      <w:caps/>
    </w:rPr>
  </w:style>
  <w:style w:type="paragraph" w:customStyle="1" w:styleId="Version">
    <w:name w:val="Version"/>
    <w:rsid w:val="003E3E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EE5"/>
    <w:pPr>
      <w:keepNext w:val="0"/>
      <w:tabs>
        <w:tab w:val="right" w:pos="4176"/>
      </w:tabs>
      <w:ind w:left="198" w:hanging="198"/>
    </w:pPr>
    <w:rPr>
      <w:rFonts w:ascii="Garamond" w:hAnsi="Garamond"/>
    </w:rPr>
  </w:style>
  <w:style w:type="paragraph" w:styleId="IndexHeading">
    <w:name w:val="index heading"/>
    <w:basedOn w:val="Normal"/>
    <w:next w:val="Index1"/>
    <w:semiHidden/>
    <w:rsid w:val="003E3EE5"/>
    <w:pPr>
      <w:spacing w:before="120" w:after="120"/>
    </w:pPr>
    <w:rPr>
      <w:rFonts w:ascii="Arial" w:hAnsi="Arial"/>
      <w:b/>
      <w:color w:val="918585"/>
      <w:sz w:val="24"/>
    </w:rPr>
  </w:style>
  <w:style w:type="paragraph" w:styleId="Header">
    <w:name w:val="header"/>
    <w:basedOn w:val="Normal"/>
    <w:link w:val="HeaderChar"/>
    <w:rsid w:val="003E3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EE5"/>
    <w:rPr>
      <w:rFonts w:ascii="Times New Roman" w:eastAsia="Times New Roman" w:hAnsi="Times New Roman" w:cs="Times New Roman"/>
      <w:sz w:val="16"/>
      <w:szCs w:val="20"/>
      <w:lang w:val="en-GB" w:eastAsia="en-US"/>
    </w:rPr>
  </w:style>
  <w:style w:type="paragraph" w:customStyle="1" w:styleId="Chapter">
    <w:name w:val="Chapter"/>
    <w:basedOn w:val="Normal"/>
    <w:rsid w:val="003E3EE5"/>
    <w:pPr>
      <w:spacing w:before="240"/>
    </w:pPr>
    <w:rPr>
      <w:rFonts w:ascii="Times New Roman" w:hAnsi="Times New Roman"/>
      <w:smallCaps/>
      <w:spacing w:val="80"/>
      <w:sz w:val="28"/>
    </w:rPr>
  </w:style>
  <w:style w:type="paragraph" w:customStyle="1" w:styleId="InChapter">
    <w:name w:val="InChapter"/>
    <w:basedOn w:val="Heading3"/>
    <w:rsid w:val="003E3EE5"/>
    <w:pPr>
      <w:spacing w:after="240"/>
      <w:outlineLvl w:val="9"/>
    </w:pPr>
    <w:rPr>
      <w:noProof/>
    </w:rPr>
  </w:style>
  <w:style w:type="paragraph" w:styleId="Index2">
    <w:name w:val="index 2"/>
    <w:basedOn w:val="Normal"/>
    <w:next w:val="Normal"/>
    <w:semiHidden/>
    <w:rsid w:val="003E3EE5"/>
    <w:pPr>
      <w:tabs>
        <w:tab w:val="right" w:pos="4176"/>
      </w:tabs>
      <w:ind w:left="568" w:hanging="284"/>
    </w:pPr>
    <w:rPr>
      <w:rFonts w:ascii="Garamond" w:hAnsi="Garamond"/>
    </w:rPr>
  </w:style>
  <w:style w:type="paragraph" w:customStyle="1" w:styleId="Byline">
    <w:name w:val="Byline"/>
    <w:rsid w:val="003E3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EE5"/>
    <w:pPr>
      <w:tabs>
        <w:tab w:val="clear" w:pos="3600"/>
        <w:tab w:val="clear" w:pos="3958"/>
      </w:tabs>
      <w:jc w:val="right"/>
    </w:pPr>
  </w:style>
  <w:style w:type="paragraph" w:styleId="Caption">
    <w:name w:val="caption"/>
    <w:basedOn w:val="BodyText"/>
    <w:next w:val="Normal"/>
    <w:qFormat/>
    <w:rsid w:val="003E3EE5"/>
    <w:pPr>
      <w:framePr w:w="2268" w:hSpace="181" w:vSpace="181" w:wrap="around" w:vAnchor="text" w:hAnchor="page" w:x="1135" w:y="285" w:anchorLock="1"/>
    </w:pPr>
    <w:rPr>
      <w:i/>
    </w:rPr>
  </w:style>
  <w:style w:type="paragraph" w:customStyle="1" w:styleId="MiniTOCTitle">
    <w:name w:val="MiniTOCTitle"/>
    <w:basedOn w:val="Heading4"/>
    <w:rsid w:val="003E3EE5"/>
    <w:pPr>
      <w:spacing w:before="240"/>
      <w:outlineLvl w:val="9"/>
    </w:pPr>
    <w:rPr>
      <w:noProof/>
      <w:sz w:val="24"/>
    </w:rPr>
  </w:style>
  <w:style w:type="paragraph" w:customStyle="1" w:styleId="MiniTOCItem">
    <w:name w:val="MiniTOCItem"/>
    <w:basedOn w:val="ListBullet"/>
    <w:rsid w:val="003E3EE5"/>
    <w:pPr>
      <w:numPr>
        <w:numId w:val="0"/>
      </w:numPr>
      <w:tabs>
        <w:tab w:val="right" w:leader="dot" w:pos="6521"/>
      </w:tabs>
      <w:spacing w:before="0" w:after="0"/>
    </w:pPr>
  </w:style>
  <w:style w:type="paragraph" w:customStyle="1" w:styleId="TOFTitle">
    <w:name w:val="TOFTitle"/>
    <w:basedOn w:val="TOCTitle"/>
    <w:rsid w:val="003E3EE5"/>
  </w:style>
  <w:style w:type="paragraph" w:styleId="TableofFigures">
    <w:name w:val="table of figures"/>
    <w:basedOn w:val="Normal"/>
    <w:next w:val="Normal"/>
    <w:semiHidden/>
    <w:rsid w:val="003E3EE5"/>
    <w:pPr>
      <w:tabs>
        <w:tab w:val="right" w:leader="dot" w:pos="9072"/>
      </w:tabs>
      <w:ind w:left="970" w:hanging="403"/>
    </w:pPr>
    <w:rPr>
      <w:rFonts w:ascii="Times New Roman" w:hAnsi="Times New Roman"/>
      <w:b/>
    </w:rPr>
  </w:style>
  <w:style w:type="paragraph" w:styleId="ListNumber">
    <w:name w:val="List Number"/>
    <w:basedOn w:val="List"/>
    <w:rsid w:val="003E3EE5"/>
    <w:pPr>
      <w:numPr>
        <w:numId w:val="16"/>
      </w:numPr>
      <w:tabs>
        <w:tab w:val="clear" w:pos="340"/>
      </w:tabs>
    </w:pPr>
  </w:style>
  <w:style w:type="character" w:customStyle="1" w:styleId="WingdingSymbols">
    <w:name w:val="Wingding Symbols"/>
    <w:rsid w:val="003E3EE5"/>
    <w:rPr>
      <w:rFonts w:ascii="Wingdings" w:hAnsi="Wingdings"/>
    </w:rPr>
  </w:style>
  <w:style w:type="paragraph" w:customStyle="1" w:styleId="TableHeading">
    <w:name w:val="Table Heading"/>
    <w:basedOn w:val="HeadingBase"/>
    <w:rsid w:val="003E3EE5"/>
    <w:pPr>
      <w:keepLines/>
      <w:pBdr>
        <w:bottom w:val="single" w:sz="6" w:space="1" w:color="918585"/>
      </w:pBdr>
      <w:spacing w:before="240"/>
    </w:pPr>
  </w:style>
  <w:style w:type="character" w:customStyle="1" w:styleId="HotSpot">
    <w:name w:val="HotSpot"/>
    <w:rsid w:val="003E3EE5"/>
    <w:rPr>
      <w:color w:val="0033CC"/>
      <w:u w:val="none"/>
    </w:rPr>
  </w:style>
  <w:style w:type="paragraph" w:customStyle="1" w:styleId="BodyTextRight">
    <w:name w:val="Body Text Right"/>
    <w:basedOn w:val="BodyText"/>
    <w:rsid w:val="003E3EE5"/>
    <w:pPr>
      <w:spacing w:before="0" w:after="0"/>
      <w:jc w:val="right"/>
    </w:pPr>
  </w:style>
  <w:style w:type="paragraph" w:styleId="Index3">
    <w:name w:val="index 3"/>
    <w:basedOn w:val="ListNumber2"/>
    <w:next w:val="Normal"/>
    <w:semiHidden/>
    <w:rsid w:val="003E3EE5"/>
    <w:pPr>
      <w:numPr>
        <w:numId w:val="0"/>
      </w:numPr>
      <w:tabs>
        <w:tab w:val="right" w:leader="dot" w:pos="4176"/>
      </w:tabs>
    </w:pPr>
  </w:style>
  <w:style w:type="paragraph" w:styleId="ListNumber2">
    <w:name w:val="List Number 2"/>
    <w:basedOn w:val="List2"/>
    <w:rsid w:val="003E3EE5"/>
    <w:pPr>
      <w:numPr>
        <w:numId w:val="11"/>
      </w:numPr>
      <w:tabs>
        <w:tab w:val="clear" w:pos="1060"/>
      </w:tabs>
    </w:pPr>
  </w:style>
  <w:style w:type="paragraph" w:customStyle="1" w:styleId="MarginNote">
    <w:name w:val="Margin Note"/>
    <w:basedOn w:val="BodyText"/>
    <w:rsid w:val="003E3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EE5"/>
    <w:rPr>
      <w:sz w:val="32"/>
    </w:rPr>
  </w:style>
  <w:style w:type="paragraph" w:customStyle="1" w:styleId="HeadingProcedure">
    <w:name w:val="Heading Procedure"/>
    <w:basedOn w:val="HeadingBase"/>
    <w:next w:val="Normal"/>
    <w:rsid w:val="003E3EE5"/>
    <w:pPr>
      <w:tabs>
        <w:tab w:val="left" w:pos="0"/>
      </w:tabs>
      <w:spacing w:before="120" w:after="60"/>
    </w:pPr>
    <w:rPr>
      <w:i/>
      <w:color w:val="918585"/>
      <w:sz w:val="22"/>
    </w:rPr>
  </w:style>
  <w:style w:type="paragraph" w:customStyle="1" w:styleId="TableBodyText">
    <w:name w:val="Table Body Text"/>
    <w:basedOn w:val="BodyText"/>
    <w:rsid w:val="003E3EE5"/>
    <w:pPr>
      <w:spacing w:before="60" w:after="60"/>
    </w:pPr>
  </w:style>
  <w:style w:type="paragraph" w:styleId="ListContinue">
    <w:name w:val="List Continue"/>
    <w:basedOn w:val="List"/>
    <w:rsid w:val="003E3EE5"/>
    <w:pPr>
      <w:ind w:firstLine="0"/>
    </w:pPr>
  </w:style>
  <w:style w:type="paragraph" w:customStyle="1" w:styleId="ListNote">
    <w:name w:val="List Note"/>
    <w:basedOn w:val="List"/>
    <w:rsid w:val="003E3EE5"/>
    <w:pPr>
      <w:pBdr>
        <w:top w:val="single" w:sz="6" w:space="2" w:color="918585"/>
        <w:bottom w:val="single" w:sz="6" w:space="2" w:color="918585"/>
      </w:pBdr>
      <w:tabs>
        <w:tab w:val="left" w:pos="1021"/>
      </w:tabs>
      <w:ind w:firstLine="0"/>
    </w:pPr>
  </w:style>
  <w:style w:type="paragraph" w:customStyle="1" w:styleId="Warning">
    <w:name w:val="Warning"/>
    <w:basedOn w:val="BodyText"/>
    <w:rsid w:val="003E3EE5"/>
    <w:pPr>
      <w:shd w:val="clear" w:color="auto" w:fill="D9D9D9"/>
      <w:tabs>
        <w:tab w:val="left" w:pos="992"/>
      </w:tabs>
      <w:ind w:left="119" w:right="119"/>
    </w:pPr>
    <w:rPr>
      <w:sz w:val="20"/>
    </w:rPr>
  </w:style>
  <w:style w:type="paragraph" w:customStyle="1" w:styleId="MarginIcons">
    <w:name w:val="Margin Icons"/>
    <w:basedOn w:val="BodyText"/>
    <w:rsid w:val="003E3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EE5"/>
    <w:rPr>
      <w:rFonts w:ascii="Courier New" w:hAnsi="Courier New"/>
    </w:rPr>
  </w:style>
  <w:style w:type="paragraph" w:customStyle="1" w:styleId="NoteBullet">
    <w:name w:val="Note Bullet"/>
    <w:basedOn w:val="Note"/>
    <w:rsid w:val="003E3EE5"/>
    <w:pPr>
      <w:tabs>
        <w:tab w:val="clear" w:pos="680"/>
      </w:tabs>
      <w:spacing w:before="60" w:after="60"/>
    </w:pPr>
  </w:style>
  <w:style w:type="paragraph" w:customStyle="1" w:styleId="SubHeading2">
    <w:name w:val="SubHeading2"/>
    <w:basedOn w:val="HeadingBase"/>
    <w:rsid w:val="003E3EE5"/>
    <w:pPr>
      <w:spacing w:before="240" w:after="60"/>
    </w:pPr>
    <w:rPr>
      <w:sz w:val="20"/>
    </w:rPr>
  </w:style>
  <w:style w:type="paragraph" w:customStyle="1" w:styleId="SubHeading1">
    <w:name w:val="SubHeading1"/>
    <w:basedOn w:val="HeadingBase"/>
    <w:rsid w:val="003E3EE5"/>
    <w:pPr>
      <w:spacing w:before="240" w:after="60"/>
    </w:pPr>
    <w:rPr>
      <w:color w:val="918585"/>
      <w:sz w:val="22"/>
    </w:rPr>
  </w:style>
  <w:style w:type="paragraph" w:customStyle="1" w:styleId="SideHeading">
    <w:name w:val="Side Heading"/>
    <w:basedOn w:val="HeadingBase"/>
    <w:rsid w:val="003E3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EE5"/>
    <w:pPr>
      <w:numPr>
        <w:numId w:val="12"/>
      </w:numPr>
    </w:pPr>
  </w:style>
  <w:style w:type="paragraph" w:styleId="PlainText">
    <w:name w:val="Plain Text"/>
    <w:basedOn w:val="Normal"/>
    <w:link w:val="PlainTextChar"/>
    <w:rsid w:val="003E3EE5"/>
    <w:rPr>
      <w:sz w:val="20"/>
    </w:rPr>
  </w:style>
  <w:style w:type="character" w:customStyle="1" w:styleId="PlainTextChar">
    <w:name w:val="Plain Text Char"/>
    <w:basedOn w:val="DefaultParagraphFont"/>
    <w:link w:val="PlainText"/>
    <w:rsid w:val="003E3EE5"/>
    <w:rPr>
      <w:rFonts w:ascii="Courier New" w:eastAsia="Times New Roman" w:hAnsi="Courier New" w:cs="Times New Roman"/>
      <w:sz w:val="20"/>
      <w:szCs w:val="20"/>
      <w:lang w:eastAsia="en-US"/>
    </w:rPr>
  </w:style>
  <w:style w:type="character" w:customStyle="1" w:styleId="MenuOption">
    <w:name w:val="Menu Option"/>
    <w:basedOn w:val="DefaultParagraphFont"/>
    <w:rsid w:val="003E3EE5"/>
    <w:rPr>
      <w:b/>
      <w:smallCaps/>
    </w:rPr>
  </w:style>
  <w:style w:type="paragraph" w:customStyle="1" w:styleId="TableListNumber">
    <w:name w:val="Table List Number"/>
    <w:basedOn w:val="ListNumber"/>
    <w:rsid w:val="003E3EE5"/>
    <w:pPr>
      <w:numPr>
        <w:numId w:val="0"/>
      </w:numPr>
    </w:pPr>
  </w:style>
  <w:style w:type="paragraph" w:styleId="TOC4">
    <w:name w:val="toc 4"/>
    <w:basedOn w:val="TOCBase"/>
    <w:next w:val="Normal"/>
    <w:semiHidden/>
    <w:rsid w:val="003E3EE5"/>
    <w:pPr>
      <w:tabs>
        <w:tab w:val="right" w:leader="dot" w:pos="9071"/>
      </w:tabs>
      <w:ind w:left="1701"/>
    </w:pPr>
  </w:style>
  <w:style w:type="paragraph" w:customStyle="1" w:styleId="ListAlpha">
    <w:name w:val="List Alpha"/>
    <w:basedOn w:val="List"/>
    <w:rsid w:val="003E3EE5"/>
    <w:pPr>
      <w:numPr>
        <w:numId w:val="10"/>
      </w:numPr>
    </w:pPr>
  </w:style>
  <w:style w:type="paragraph" w:customStyle="1" w:styleId="ListAlpha2">
    <w:name w:val="List Alpha 2"/>
    <w:basedOn w:val="List2"/>
    <w:rsid w:val="003E3EE5"/>
    <w:pPr>
      <w:numPr>
        <w:numId w:val="9"/>
      </w:numPr>
    </w:pPr>
  </w:style>
  <w:style w:type="paragraph" w:styleId="List2">
    <w:name w:val="List 2"/>
    <w:basedOn w:val="BodyText"/>
    <w:rsid w:val="003E3EE5"/>
    <w:pPr>
      <w:tabs>
        <w:tab w:val="left" w:pos="680"/>
      </w:tabs>
      <w:spacing w:before="60" w:after="60"/>
      <w:ind w:left="680" w:hanging="340"/>
    </w:pPr>
  </w:style>
  <w:style w:type="paragraph" w:styleId="List3">
    <w:name w:val="List 3"/>
    <w:basedOn w:val="BodyText"/>
    <w:rsid w:val="003E3EE5"/>
    <w:pPr>
      <w:tabs>
        <w:tab w:val="left" w:pos="1021"/>
      </w:tabs>
      <w:spacing w:before="60" w:after="60"/>
      <w:ind w:left="1020" w:hanging="340"/>
    </w:pPr>
  </w:style>
  <w:style w:type="paragraph" w:styleId="List4">
    <w:name w:val="List 4"/>
    <w:basedOn w:val="BodyText"/>
    <w:rsid w:val="003E3EE5"/>
    <w:pPr>
      <w:tabs>
        <w:tab w:val="left" w:pos="1361"/>
      </w:tabs>
      <w:spacing w:before="60" w:after="60"/>
      <w:ind w:left="1361" w:hanging="340"/>
    </w:pPr>
  </w:style>
  <w:style w:type="paragraph" w:styleId="List5">
    <w:name w:val="List 5"/>
    <w:basedOn w:val="BodyText"/>
    <w:rsid w:val="003E3EE5"/>
    <w:pPr>
      <w:tabs>
        <w:tab w:val="left" w:pos="1701"/>
      </w:tabs>
      <w:spacing w:before="60" w:after="60"/>
      <w:ind w:left="1701" w:hanging="340"/>
    </w:pPr>
  </w:style>
  <w:style w:type="paragraph" w:styleId="ListBullet4">
    <w:name w:val="List Bullet 4"/>
    <w:basedOn w:val="List4"/>
    <w:rsid w:val="003E3EE5"/>
    <w:pPr>
      <w:numPr>
        <w:numId w:val="4"/>
      </w:numPr>
      <w:tabs>
        <w:tab w:val="clear" w:pos="1361"/>
      </w:tabs>
    </w:pPr>
  </w:style>
  <w:style w:type="paragraph" w:styleId="ListBullet5">
    <w:name w:val="List Bullet 5"/>
    <w:basedOn w:val="List5"/>
    <w:rsid w:val="003E3EE5"/>
    <w:pPr>
      <w:numPr>
        <w:numId w:val="5"/>
      </w:numPr>
    </w:pPr>
  </w:style>
  <w:style w:type="paragraph" w:styleId="ListContinue2">
    <w:name w:val="List Continue 2"/>
    <w:basedOn w:val="List2"/>
    <w:rsid w:val="003E3EE5"/>
    <w:pPr>
      <w:ind w:firstLine="0"/>
    </w:pPr>
  </w:style>
  <w:style w:type="paragraph" w:styleId="ListContinue3">
    <w:name w:val="List Continue 3"/>
    <w:basedOn w:val="List3"/>
    <w:rsid w:val="003E3EE5"/>
    <w:pPr>
      <w:ind w:left="1021" w:firstLine="0"/>
    </w:pPr>
  </w:style>
  <w:style w:type="paragraph" w:styleId="ListContinue4">
    <w:name w:val="List Continue 4"/>
    <w:basedOn w:val="List4"/>
    <w:rsid w:val="003E3EE5"/>
    <w:pPr>
      <w:ind w:firstLine="0"/>
    </w:pPr>
  </w:style>
  <w:style w:type="paragraph" w:styleId="ListContinue5">
    <w:name w:val="List Continue 5"/>
    <w:basedOn w:val="List5"/>
    <w:rsid w:val="003E3EE5"/>
    <w:pPr>
      <w:ind w:firstLine="0"/>
    </w:pPr>
  </w:style>
  <w:style w:type="paragraph" w:styleId="ListNumber3">
    <w:name w:val="List Number 3"/>
    <w:basedOn w:val="List3"/>
    <w:rsid w:val="003E3EE5"/>
    <w:pPr>
      <w:numPr>
        <w:numId w:val="6"/>
      </w:numPr>
    </w:pPr>
  </w:style>
  <w:style w:type="paragraph" w:styleId="ListNumber4">
    <w:name w:val="List Number 4"/>
    <w:basedOn w:val="List4"/>
    <w:rsid w:val="003E3EE5"/>
    <w:pPr>
      <w:numPr>
        <w:numId w:val="7"/>
      </w:numPr>
    </w:pPr>
  </w:style>
  <w:style w:type="paragraph" w:styleId="ListNumber5">
    <w:name w:val="List Number 5"/>
    <w:basedOn w:val="List5"/>
    <w:rsid w:val="003E3EE5"/>
    <w:pPr>
      <w:numPr>
        <w:numId w:val="8"/>
      </w:numPr>
    </w:pPr>
  </w:style>
  <w:style w:type="paragraph" w:styleId="BlockText">
    <w:name w:val="Block Text"/>
    <w:basedOn w:val="Normal"/>
    <w:rsid w:val="003E3EE5"/>
    <w:pPr>
      <w:spacing w:after="120"/>
      <w:ind w:left="1440" w:right="1440"/>
    </w:pPr>
  </w:style>
  <w:style w:type="character" w:customStyle="1" w:styleId="Subscript">
    <w:name w:val="Subscript"/>
    <w:basedOn w:val="DefaultParagraphFont"/>
    <w:rsid w:val="003E3EE5"/>
    <w:rPr>
      <w:sz w:val="16"/>
      <w:vertAlign w:val="subscript"/>
    </w:rPr>
  </w:style>
  <w:style w:type="character" w:customStyle="1" w:styleId="Superscript">
    <w:name w:val="Superscript"/>
    <w:basedOn w:val="DefaultParagraphFont"/>
    <w:rsid w:val="003E3EE5"/>
    <w:rPr>
      <w:sz w:val="16"/>
      <w:vertAlign w:val="superscript"/>
    </w:rPr>
  </w:style>
  <w:style w:type="character" w:customStyle="1" w:styleId="Symbols">
    <w:name w:val="Symbols"/>
    <w:basedOn w:val="DefaultParagraphFont"/>
    <w:rsid w:val="003E3EE5"/>
    <w:rPr>
      <w:rFonts w:ascii="Symbol" w:hAnsi="Symbol"/>
    </w:rPr>
  </w:style>
  <w:style w:type="character" w:customStyle="1" w:styleId="MenuOptions">
    <w:name w:val="Menu Options"/>
    <w:basedOn w:val="DefaultParagraphFont"/>
    <w:rsid w:val="003E3EE5"/>
    <w:rPr>
      <w:rFonts w:ascii="Arial Narrow" w:hAnsi="Arial Narrow"/>
      <w:smallCaps/>
    </w:rPr>
  </w:style>
  <w:style w:type="character" w:customStyle="1" w:styleId="Buttons">
    <w:name w:val="Buttons"/>
    <w:basedOn w:val="DefaultParagraphFont"/>
    <w:rsid w:val="003E3EE5"/>
    <w:rPr>
      <w:b/>
    </w:rPr>
  </w:style>
  <w:style w:type="character" w:customStyle="1" w:styleId="Underlined">
    <w:name w:val="Underlined"/>
    <w:basedOn w:val="DefaultParagraphFont"/>
    <w:rsid w:val="003E3EE5"/>
    <w:rPr>
      <w:u w:val="single"/>
    </w:rPr>
  </w:style>
  <w:style w:type="paragraph" w:customStyle="1" w:styleId="TableBodyTextRight">
    <w:name w:val="Table Body Text Right"/>
    <w:basedOn w:val="TableBodyText"/>
    <w:rsid w:val="003E3EE5"/>
    <w:pPr>
      <w:widowControl w:val="0"/>
      <w:autoSpaceDE w:val="0"/>
      <w:autoSpaceDN w:val="0"/>
      <w:adjustRightInd w:val="0"/>
      <w:jc w:val="right"/>
    </w:pPr>
    <w:rPr>
      <w:rFonts w:cs="Arial"/>
      <w:szCs w:val="18"/>
    </w:rPr>
  </w:style>
  <w:style w:type="paragraph" w:customStyle="1" w:styleId="CopyrightText">
    <w:name w:val="Copyright Text"/>
    <w:basedOn w:val="BodyText"/>
    <w:rsid w:val="003E3EE5"/>
    <w:rPr>
      <w:sz w:val="18"/>
    </w:rPr>
  </w:style>
  <w:style w:type="paragraph" w:customStyle="1" w:styleId="BodySmallRight">
    <w:name w:val="Body Small Right"/>
    <w:basedOn w:val="BodyTextRight"/>
    <w:rsid w:val="003E3EE5"/>
    <w:rPr>
      <w:sz w:val="18"/>
      <w:szCs w:val="18"/>
    </w:rPr>
  </w:style>
  <w:style w:type="paragraph" w:customStyle="1" w:styleId="MarginEdition">
    <w:name w:val="Margin Edition"/>
    <w:basedOn w:val="MarginNote"/>
    <w:rsid w:val="003E3EE5"/>
    <w:pPr>
      <w:spacing w:before="0" w:after="0"/>
    </w:pPr>
    <w:rPr>
      <w:rFonts w:ascii="Times New Roman" w:hAnsi="Times New Roman"/>
      <w:color w:val="999999"/>
    </w:rPr>
  </w:style>
  <w:style w:type="paragraph" w:customStyle="1" w:styleId="Spacer">
    <w:name w:val="Spacer"/>
    <w:basedOn w:val="Normal"/>
    <w:rsid w:val="003E3EE5"/>
    <w:rPr>
      <w:sz w:val="2"/>
      <w:szCs w:val="2"/>
    </w:rPr>
  </w:style>
  <w:style w:type="character" w:customStyle="1" w:styleId="Small">
    <w:name w:val="Small"/>
    <w:basedOn w:val="DefaultParagraphFont"/>
    <w:rsid w:val="003E3EE5"/>
    <w:rPr>
      <w:sz w:val="16"/>
    </w:rPr>
  </w:style>
  <w:style w:type="paragraph" w:customStyle="1" w:styleId="WideTable">
    <w:name w:val="Wide Table"/>
    <w:basedOn w:val="Normal"/>
    <w:rsid w:val="003E3EE5"/>
    <w:pPr>
      <w:ind w:left="-1418"/>
    </w:pPr>
    <w:rPr>
      <w:sz w:val="2"/>
      <w:szCs w:val="2"/>
    </w:rPr>
  </w:style>
  <w:style w:type="character" w:styleId="PageNumber">
    <w:name w:val="page number"/>
    <w:basedOn w:val="DefaultParagraphFont"/>
    <w:rsid w:val="003E3EE5"/>
  </w:style>
  <w:style w:type="paragraph" w:styleId="Quote">
    <w:name w:val="Quote"/>
    <w:basedOn w:val="Heading1"/>
    <w:link w:val="QuoteChar"/>
    <w:qFormat/>
    <w:rsid w:val="003E3EE5"/>
    <w:rPr>
      <w:b w:val="0"/>
      <w:sz w:val="72"/>
      <w:szCs w:val="72"/>
      <w:lang w:val="en-NZ"/>
    </w:rPr>
  </w:style>
  <w:style w:type="character" w:customStyle="1" w:styleId="QuoteChar">
    <w:name w:val="Quote Char"/>
    <w:basedOn w:val="DefaultParagraphFont"/>
    <w:link w:val="Quote"/>
    <w:rsid w:val="003E3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EE5"/>
    <w:pPr>
      <w:pageBreakBefore/>
    </w:pPr>
  </w:style>
  <w:style w:type="paragraph" w:customStyle="1" w:styleId="Border">
    <w:name w:val="Border"/>
    <w:basedOn w:val="Normal"/>
    <w:qFormat/>
    <w:rsid w:val="003E3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EE5"/>
    <w:rPr>
      <w:b/>
      <w:bCs/>
      <w:i/>
      <w:iCs/>
      <w:color w:val="auto"/>
    </w:rPr>
  </w:style>
  <w:style w:type="paragraph" w:styleId="IntenseQuote">
    <w:name w:val="Intense Quote"/>
    <w:basedOn w:val="Normal"/>
    <w:next w:val="Normal"/>
    <w:link w:val="IntenseQuoteChar"/>
    <w:uiPriority w:val="30"/>
    <w:qFormat/>
    <w:rsid w:val="003E3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EE5"/>
    <w:rPr>
      <w:smallCaps/>
      <w:color w:val="auto"/>
      <w:u w:val="single"/>
    </w:rPr>
  </w:style>
  <w:style w:type="character" w:styleId="IntenseReference">
    <w:name w:val="Intense Reference"/>
    <w:basedOn w:val="DefaultParagraphFont"/>
    <w:uiPriority w:val="32"/>
    <w:qFormat/>
    <w:rsid w:val="003E3EE5"/>
    <w:rPr>
      <w:b/>
      <w:bCs/>
      <w:smallCaps/>
      <w:color w:val="auto"/>
      <w:spacing w:val="5"/>
      <w:u w:val="single"/>
    </w:rPr>
  </w:style>
  <w:style w:type="paragraph" w:customStyle="1" w:styleId="2ColumnHeading">
    <w:name w:val="2Column Heading"/>
    <w:basedOn w:val="BodyText"/>
    <w:qFormat/>
    <w:rsid w:val="003E3EE5"/>
    <w:pPr>
      <w:spacing w:after="60"/>
      <w:ind w:left="-2268"/>
    </w:pPr>
    <w:rPr>
      <w:b/>
    </w:rPr>
  </w:style>
  <w:style w:type="paragraph" w:customStyle="1" w:styleId="Heading1TOC">
    <w:name w:val="Heading1 TOC"/>
    <w:basedOn w:val="Normal"/>
    <w:qFormat/>
    <w:rsid w:val="003E3EE5"/>
    <w:pPr>
      <w:spacing w:before="240" w:after="120"/>
    </w:pPr>
    <w:rPr>
      <w:rFonts w:ascii="Times New Roman" w:hAnsi="Times New Roman"/>
      <w:b/>
      <w:sz w:val="32"/>
    </w:rPr>
  </w:style>
  <w:style w:type="paragraph" w:customStyle="1" w:styleId="Heading2TOC">
    <w:name w:val="Heading2 TOC"/>
    <w:basedOn w:val="Normal"/>
    <w:qFormat/>
    <w:rsid w:val="003E3EE5"/>
    <w:pPr>
      <w:spacing w:before="240" w:after="60"/>
    </w:pPr>
    <w:rPr>
      <w:rFonts w:ascii="Times New Roman" w:hAnsi="Times New Roman"/>
      <w:b/>
      <w:sz w:val="28"/>
    </w:rPr>
  </w:style>
  <w:style w:type="character" w:customStyle="1" w:styleId="Underline">
    <w:name w:val="Underline"/>
    <w:basedOn w:val="DefaultParagraphFont"/>
    <w:qFormat/>
    <w:rsid w:val="003E3EE5"/>
    <w:rPr>
      <w:u w:val="single"/>
    </w:rPr>
  </w:style>
  <w:style w:type="character" w:customStyle="1" w:styleId="BoldandItalics">
    <w:name w:val="Bold and Italics"/>
    <w:qFormat/>
    <w:rsid w:val="003E3EE5"/>
    <w:rPr>
      <w:b/>
      <w:i/>
      <w:u w:val="none"/>
    </w:rPr>
  </w:style>
  <w:style w:type="paragraph" w:styleId="BalloonText">
    <w:name w:val="Balloon Text"/>
    <w:basedOn w:val="Normal"/>
    <w:link w:val="BalloonTextChar"/>
    <w:rsid w:val="003E3EE5"/>
    <w:rPr>
      <w:rFonts w:ascii="Tahoma" w:hAnsi="Tahoma" w:cs="Tahoma"/>
      <w:sz w:val="16"/>
      <w:szCs w:val="16"/>
    </w:rPr>
  </w:style>
  <w:style w:type="character" w:customStyle="1" w:styleId="BalloonTextChar">
    <w:name w:val="Balloon Text Char"/>
    <w:basedOn w:val="DefaultParagraphFont"/>
    <w:link w:val="BalloonText"/>
    <w:rsid w:val="003E3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E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EE5"/>
    <w:rPr>
      <w:b/>
      <w:color w:val="660033"/>
      <w:spacing w:val="0"/>
    </w:rPr>
  </w:style>
  <w:style w:type="paragraph" w:customStyle="1" w:styleId="Nameditemlist">
    <w:name w:val="Named item list"/>
    <w:basedOn w:val="BodyText"/>
    <w:qFormat/>
    <w:rsid w:val="003E3EE5"/>
    <w:pPr>
      <w:tabs>
        <w:tab w:val="left" w:pos="2835"/>
      </w:tabs>
      <w:ind w:left="2835" w:hanging="2835"/>
    </w:pPr>
  </w:style>
  <w:style w:type="paragraph" w:customStyle="1" w:styleId="BodyTextnopadding">
    <w:name w:val="Body Text no padding"/>
    <w:basedOn w:val="BodyText"/>
    <w:qFormat/>
    <w:rsid w:val="003E3EE5"/>
    <w:pPr>
      <w:spacing w:before="0" w:after="0"/>
    </w:pPr>
  </w:style>
  <w:style w:type="paragraph" w:customStyle="1" w:styleId="BodyTextBold">
    <w:name w:val="Body Text Bold"/>
    <w:basedOn w:val="BodyText"/>
    <w:qFormat/>
    <w:rsid w:val="003E3EE5"/>
    <w:rPr>
      <w:b/>
    </w:rPr>
  </w:style>
  <w:style w:type="character" w:styleId="Hyperlink">
    <w:name w:val="Hyperlink"/>
    <w:basedOn w:val="DefaultParagraphFont"/>
    <w:uiPriority w:val="99"/>
    <w:unhideWhenUsed/>
    <w:rsid w:val="00C81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7725</Characters>
  <Application>Microsoft Office Word</Application>
  <DocSecurity>0</DocSecurity>
  <Lines>335</Lines>
  <Paragraphs>182</Paragraphs>
  <ScaleCrop>false</ScaleCrop>
  <Company>Author-it Software Corporation Ltd.</Company>
  <LinksUpToDate>false</LinksUpToDate>
  <CharactersWithSpaces>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CPCCDE3022 Manage demolition recyclable waste materials and contaminated soil using load shifting equipment</dc:title>
  <dc:subject>Approved</dc:subject>
  <dc:creator>BuildSkills Australia</dc:creator>
  <cp:keywords>Release: 2</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