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6E9" w:rsidP="00161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CPCCDE3017 Select and use hand tools and equipment for demolition tasks</w:t>
      </w:r>
      <w:r>
        <w:fldChar w:fldCharType="end"/>
      </w:r>
    </w:p>
    <w:p w:rsidR="001616E9" w:rsidP="001616E9">
      <w:pPr>
        <w:pStyle w:val="Version"/>
        <w:sectPr w:rsidSect="00E74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4B68" w:rsidP="00E74B68">
      <w:pPr>
        <w:pStyle w:val="SuperHeading"/>
      </w:pPr>
      <w:r w:rsidRPr="00E74B68">
        <w:t>Assessment Requirements for CPCCDE3017 Select and use hand tools and equipment for demolition tasks</w:t>
      </w:r>
    </w:p>
    <w:p w:rsidR="00000000" w:rsidRPr="00E74B68" w:rsidP="00E74B68">
      <w:pPr>
        <w:pStyle w:val="Heading1"/>
      </w:pPr>
      <w:bookmarkStart w:id="1" w:name="O_1295025"/>
      <w:bookmarkEnd w:id="1"/>
      <w:r w:rsidRPr="00E74B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7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68">
            <w:pPr>
              <w:pStyle w:val="BodyText"/>
              <w:rPr>
                <w:lang w:val="en-NZ"/>
              </w:rPr>
            </w:pPr>
            <w:r w:rsidRPr="00E74B6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68">
            <w:pPr>
              <w:pStyle w:val="BodyText"/>
              <w:rPr>
                <w:lang w:val="en-NZ"/>
              </w:rPr>
            </w:pPr>
            <w:r w:rsidRPr="00E74B68">
              <w:t>Updated reference to general construction induction training program.</w:t>
            </w:r>
          </w:p>
        </w:tc>
      </w:tr>
      <w:tr w:rsidTr="00E7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68">
            <w:pPr>
              <w:pStyle w:val="BodyText"/>
              <w:rPr>
                <w:lang w:val="en-NZ"/>
              </w:rPr>
            </w:pPr>
            <w:r w:rsidRPr="00E74B6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68" w:rsidP="00E74B68">
            <w:pPr>
              <w:pStyle w:val="BodyText"/>
            </w:pPr>
            <w:r w:rsidRPr="00E74B68">
              <w:t>This version first released with CPC Construction, Plumbing and Services Training Package Release 5.0.</w:t>
            </w:r>
          </w:p>
          <w:p w:rsidR="00000000" w:rsidRPr="00E74B68" w:rsidP="00E74B68">
            <w:pPr>
              <w:pStyle w:val="BodyText"/>
            </w:pPr>
            <w:r w:rsidRPr="00E74B68">
              <w:t>Supersedes and is equivalent to CPCCDE3017A Select and use hand tools and equipment for demolition tasks.  Updated to meet the Standards for Training Pac</w:t>
            </w:r>
            <w:r w:rsidRPr="00E74B68">
              <w:t>kages 2012.</w:t>
            </w:r>
          </w:p>
        </w:tc>
      </w:tr>
    </w:tbl>
    <w:p w:rsidR="00000000" w:rsidRPr="00E74B68" w:rsidP="00E74B68">
      <w:pPr>
        <w:pStyle w:val="BodyText"/>
      </w:pPr>
    </w:p>
    <w:p w:rsidR="00000000" w:rsidRPr="00E74B68" w:rsidP="00E74B68">
      <w:pPr>
        <w:pStyle w:val="AllowPageBreak"/>
      </w:pPr>
    </w:p>
    <w:p w:rsidR="00000000" w:rsidRPr="00E74B68" w:rsidP="00E74B68">
      <w:pPr>
        <w:pStyle w:val="Heading1"/>
      </w:pPr>
      <w:bookmarkStart w:id="2" w:name="O_1295023"/>
      <w:bookmarkEnd w:id="2"/>
      <w:r w:rsidRPr="00E74B68">
        <w:t>Performance Evidence</w:t>
      </w:r>
    </w:p>
    <w:p w:rsidR="00000000" w:rsidRPr="00E74B68" w:rsidP="001616E9">
      <w:pPr>
        <w:pStyle w:val="BodyText"/>
      </w:pPr>
      <w:r w:rsidRPr="00E74B68">
        <w:t>To demonstrate competency in this unit, a candidate must select and use hand tools and equipment for an on-site demolition task and remove each of the following at least once:</w:t>
      </w:r>
    </w:p>
    <w:p w:rsidR="00000000" w:rsidRPr="00E74B68" w:rsidP="00E74B68">
      <w:pPr>
        <w:pStyle w:val="ListBullet"/>
      </w:pPr>
      <w:r w:rsidRPr="00E74B68">
        <w:t>fixtures and fittings</w:t>
      </w:r>
    </w:p>
    <w:p w:rsidR="00000000" w:rsidRPr="00E74B68" w:rsidP="00E74B68">
      <w:pPr>
        <w:pStyle w:val="ListBullet"/>
      </w:pPr>
      <w:r w:rsidRPr="00E74B68">
        <w:t>a ceiling of at least 10 square metres</w:t>
      </w:r>
    </w:p>
    <w:p w:rsidR="00000000" w:rsidRPr="00E74B68" w:rsidP="00E74B68">
      <w:pPr>
        <w:pStyle w:val="ListBullet"/>
      </w:pPr>
      <w:r w:rsidRPr="00E74B68">
        <w:t xml:space="preserve">an internal load bearing wall of at least 10 square metres </w:t>
      </w:r>
    </w:p>
    <w:p w:rsidR="00000000" w:rsidRPr="00E74B68" w:rsidP="00E74B68">
      <w:pPr>
        <w:pStyle w:val="ListBullet"/>
      </w:pPr>
      <w:r w:rsidRPr="00E74B68">
        <w:t>flooring and flooring support system covering at least 3 square metres</w:t>
      </w:r>
    </w:p>
    <w:p w:rsidR="00000000" w:rsidRPr="00E74B68" w:rsidP="00E74B68">
      <w:pPr>
        <w:pStyle w:val="ListBullet"/>
      </w:pPr>
      <w:r w:rsidRPr="00E74B68">
        <w:t>knock down a small structure of at least 10 square metres</w:t>
      </w:r>
    </w:p>
    <w:p w:rsidR="00000000" w:rsidRPr="00E74B68" w:rsidP="00E74B68">
      <w:pPr>
        <w:pStyle w:val="ListBullet"/>
      </w:pPr>
      <w:r w:rsidRPr="00E74B68">
        <w:t>load out a minimum of one cu</w:t>
      </w:r>
      <w:r w:rsidRPr="00E74B68">
        <w:t>bic metre of rubbish.</w:t>
      </w:r>
    </w:p>
    <w:p w:rsidR="00000000" w:rsidRPr="00E74B68" w:rsidP="001616E9">
      <w:pPr>
        <w:pStyle w:val="BodyText"/>
      </w:pPr>
      <w:r w:rsidRPr="00E74B68">
        <w:t>In doing this, the candidate must meet the performance criteria for this unit.</w:t>
      </w:r>
    </w:p>
    <w:p w:rsidR="00000000" w:rsidRPr="00E74B68" w:rsidP="00E74B68">
      <w:pPr>
        <w:pStyle w:val="Heading1"/>
      </w:pPr>
      <w:bookmarkStart w:id="3" w:name="O_1295022"/>
      <w:bookmarkEnd w:id="3"/>
      <w:r w:rsidRPr="00E74B68">
        <w:t>Knowledge Evidence</w:t>
      </w:r>
    </w:p>
    <w:p w:rsidR="00000000" w:rsidRPr="00E74B68" w:rsidP="001616E9">
      <w:pPr>
        <w:pStyle w:val="BodyText"/>
      </w:pPr>
      <w:r w:rsidRPr="00E74B68">
        <w:t>To be competent in this unit, a candidate must demonstrate knowledge of:</w:t>
      </w:r>
    </w:p>
    <w:p w:rsidR="00000000" w:rsidRPr="00E74B68" w:rsidP="00E74B68">
      <w:pPr>
        <w:pStyle w:val="ListBullet"/>
      </w:pPr>
      <w:r w:rsidRPr="00E74B68">
        <w:t>the compliance requirements of the relevant</w:t>
      </w:r>
      <w:r w:rsidRPr="00E74B68">
        <w:t xml:space="preserve"> Australian Standards, Building Code of Australia (BCA), model codes of practice, environmental and work health and safety (WHS) legislation</w:t>
      </w:r>
    </w:p>
    <w:p w:rsidR="00000000" w:rsidRPr="00E74B68" w:rsidP="00E74B68">
      <w:pPr>
        <w:pStyle w:val="ListBullet"/>
      </w:pPr>
      <w:r w:rsidRPr="00E74B68">
        <w:t>general construction terminology</w:t>
      </w:r>
    </w:p>
    <w:p w:rsidR="00000000" w:rsidRPr="00E74B68" w:rsidP="00E74B68">
      <w:pPr>
        <w:pStyle w:val="ListBullet"/>
      </w:pPr>
      <w:r w:rsidRPr="00E74B68">
        <w:t>hazards that may exist or arise on demolition sites, including those associated wi</w:t>
      </w:r>
      <w:r w:rsidRPr="00E74B68">
        <w:t>th the use of demolition tools and equipment</w:t>
      </w:r>
    </w:p>
    <w:p w:rsidR="00000000" w:rsidRPr="00E74B68" w:rsidP="00E74B68">
      <w:pPr>
        <w:pStyle w:val="ListBullet"/>
      </w:pPr>
      <w:r w:rsidRPr="00E74B68">
        <w:t xml:space="preserve">procedures for: </w:t>
      </w:r>
    </w:p>
    <w:p w:rsidR="00000000" w:rsidRPr="00E74B68" w:rsidP="00E74B68">
      <w:pPr>
        <w:pStyle w:val="ListBullet2"/>
      </w:pPr>
      <w:r w:rsidRPr="00E74B68">
        <w:t xml:space="preserve">environmentally friendly waste management </w:t>
      </w:r>
    </w:p>
    <w:p w:rsidR="00000000" w:rsidRPr="00E74B68" w:rsidP="00E74B68">
      <w:pPr>
        <w:pStyle w:val="ListBullet2"/>
      </w:pPr>
      <w:r w:rsidRPr="00E74B68">
        <w:t xml:space="preserve">managing risks and hazards on demolition sites </w:t>
      </w:r>
    </w:p>
    <w:p w:rsidR="00000000" w:rsidRPr="00E74B68" w:rsidP="00E74B68">
      <w:pPr>
        <w:pStyle w:val="ListBullet2"/>
      </w:pPr>
      <w:r w:rsidRPr="00E74B68">
        <w:t>sorting and storing reusable and recyclable materials</w:t>
      </w:r>
    </w:p>
    <w:p w:rsidR="00000000" w:rsidRPr="00E74B68" w:rsidP="00E74B68">
      <w:pPr>
        <w:pStyle w:val="ListBullet"/>
      </w:pPr>
      <w:r w:rsidRPr="00E74B68">
        <w:t>types of informa</w:t>
      </w:r>
      <w:r w:rsidRPr="00E74B68">
        <w:t>tion required to plan and prepare for safe and effective completion of demolition tasks</w:t>
      </w:r>
    </w:p>
    <w:p w:rsidR="00000000" w:rsidRPr="00E74B68" w:rsidP="00E74B68">
      <w:pPr>
        <w:pStyle w:val="ListBullet"/>
      </w:pPr>
      <w:r w:rsidRPr="00E74B68">
        <w:t>types of industry-recognised portable power tools, hand tools and equipment applicable to demolition tasks:</w:t>
      </w:r>
    </w:p>
    <w:p w:rsidR="00000000" w:rsidRPr="00E74B68" w:rsidP="00E74B68">
      <w:pPr>
        <w:pStyle w:val="ListBullet2"/>
      </w:pPr>
      <w:r w:rsidRPr="00E74B68">
        <w:t xml:space="preserve">applications of each tool or piece of equipment </w:t>
      </w:r>
    </w:p>
    <w:p w:rsidR="00000000" w:rsidRPr="00E74B68" w:rsidP="00E74B68">
      <w:pPr>
        <w:pStyle w:val="ListBullet2"/>
      </w:pPr>
      <w:r w:rsidRPr="00E74B68">
        <w:t>maintenanc</w:t>
      </w:r>
      <w:r w:rsidRPr="00E74B68">
        <w:t xml:space="preserve">e requirements </w:t>
      </w:r>
      <w:r w:rsidRPr="00E74B68">
        <w:tab/>
      </w:r>
    </w:p>
    <w:p w:rsidR="00000000" w:rsidRPr="00E74B68" w:rsidP="00E74B68">
      <w:pPr>
        <w:pStyle w:val="ListBullet2"/>
      </w:pPr>
      <w:r w:rsidRPr="00E74B68">
        <w:t>safe methods of operation for different demolition tasks</w:t>
      </w:r>
    </w:p>
    <w:p w:rsidR="00000000" w:rsidRPr="00E74B68" w:rsidP="00E74B68">
      <w:pPr>
        <w:pStyle w:val="ListBullet"/>
      </w:pPr>
      <w:r w:rsidRPr="00E74B68">
        <w:t>technology types and operation used in demolition.</w:t>
      </w:r>
    </w:p>
    <w:p w:rsidR="00000000" w:rsidRPr="00E74B68" w:rsidP="00E74B68">
      <w:pPr>
        <w:pStyle w:val="AllowPageBreak"/>
      </w:pPr>
    </w:p>
    <w:p w:rsidR="00000000" w:rsidRPr="00E74B68" w:rsidP="00E74B68">
      <w:pPr>
        <w:pStyle w:val="Heading1"/>
      </w:pPr>
      <w:bookmarkStart w:id="4" w:name="O_1295021"/>
      <w:bookmarkEnd w:id="4"/>
      <w:r w:rsidRPr="00E74B68">
        <w:t>Assessment Conditions</w:t>
      </w:r>
    </w:p>
    <w:p w:rsidR="00000000" w:rsidRPr="00E74B68" w:rsidP="001616E9">
      <w:pPr>
        <w:pStyle w:val="BodyText"/>
      </w:pPr>
      <w:r w:rsidRPr="00E74B68">
        <w:t>Assessors must satisfy the requirements for assessors contained in the Standards for Regi</w:t>
      </w:r>
      <w:r w:rsidRPr="00E74B68">
        <w:t xml:space="preserve">stered Training Organisations. </w:t>
      </w:r>
    </w:p>
    <w:p w:rsidR="00000000" w:rsidRPr="00E74B68" w:rsidP="001616E9">
      <w:pPr>
        <w:pStyle w:val="BodyText"/>
      </w:pPr>
      <w:r w:rsidRPr="00E74B68">
        <w:t xml:space="preserve">Assessment of performance must be undertaken in the workplace or in a simulated workplace environment. </w:t>
      </w:r>
    </w:p>
    <w:p w:rsidR="00000000" w:rsidRPr="00E74B68" w:rsidP="001616E9">
      <w:pPr>
        <w:pStyle w:val="BodyText"/>
      </w:pPr>
      <w:r w:rsidRPr="00E74B68">
        <w:t>Assessors are responsible for ensuring that the candidate demonstrating competency has access to:</w:t>
      </w:r>
    </w:p>
    <w:p w:rsidR="00000000" w:rsidRPr="00E74B68" w:rsidP="00E74B68">
      <w:pPr>
        <w:pStyle w:val="ListBullet"/>
      </w:pPr>
      <w:r w:rsidRPr="00E74B68">
        <w:t>worksites and specifications for using demolition hand tools and equipment</w:t>
      </w:r>
    </w:p>
    <w:p w:rsidR="00000000" w:rsidRPr="00E74B68" w:rsidP="00E74B68">
      <w:pPr>
        <w:pStyle w:val="ListBullet"/>
      </w:pPr>
      <w:r w:rsidRPr="00E74B68">
        <w:t>appropriate documents, materials, tools, equipment and personal protective equipment (PPE) currently used in industry</w:t>
      </w:r>
    </w:p>
    <w:p w:rsidR="00000000" w:rsidRPr="00E74B68" w:rsidP="00E74B68">
      <w:pPr>
        <w:pStyle w:val="ListBullet"/>
      </w:pPr>
      <w:r w:rsidRPr="00E74B68">
        <w:t>requirements of workplace policies, procedures and demolition p</w:t>
      </w:r>
      <w:r w:rsidRPr="00E74B68">
        <w:t>lans.</w:t>
      </w:r>
    </w:p>
    <w:p w:rsidR="00000000" w:rsidRPr="00E74B68" w:rsidP="00E74B68">
      <w:pPr>
        <w:pStyle w:val="AllowPageBreak"/>
      </w:pPr>
    </w:p>
    <w:p w:rsidR="00000000" w:rsidRPr="00E74B68" w:rsidP="00E74B68">
      <w:pPr>
        <w:pStyle w:val="Heading1"/>
      </w:pPr>
      <w:bookmarkStart w:id="5" w:name="O_1295044"/>
      <w:bookmarkEnd w:id="5"/>
      <w:r w:rsidRPr="00E74B68">
        <w:t>Links</w:t>
      </w:r>
    </w:p>
    <w:p w:rsidR="00000000" w:rsidRPr="00E74B68" w:rsidP="001616E9">
      <w:pPr>
        <w:pStyle w:val="BodyText"/>
      </w:pPr>
      <w:r w:rsidRPr="00E74B6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A1E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74B68" w:rsidP="00E74B68"/>
    <w:sectPr w:rsidSect="00E74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68" w:rsidRPr="001616E9" w:rsidP="00161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E9" w:rsidP="00E74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16E9" w:rsidP="00E74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16E9" w:rsidP="00E74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B68" w:rsidRPr="001616E9" w:rsidP="00161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E9" w:rsidRPr="002D2AF8" w:rsidP="00E74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CPCCDE3017 Select and use hand tools and equipment for demolition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16E9" w:rsidP="00E74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4C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C25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40B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B68"/>
  </w:style>
  <w:style w:type="character" w:customStyle="1" w:styleId="Heading1Char">
    <w:name w:val="Heading 1 Char"/>
    <w:basedOn w:val="DefaultParagraphFont"/>
    <w:link w:val="Heading1"/>
    <w:rsid w:val="00E74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B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B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B68"/>
    <w:rPr>
      <w:b/>
      <w:spacing w:val="0"/>
    </w:rPr>
  </w:style>
  <w:style w:type="paragraph" w:customStyle="1" w:styleId="SuperTitle">
    <w:name w:val="SuperTitle"/>
    <w:basedOn w:val="Title"/>
    <w:rsid w:val="00E74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B68"/>
    <w:rPr>
      <w:i/>
    </w:rPr>
  </w:style>
  <w:style w:type="paragraph" w:styleId="Caption">
    <w:name w:val="caption"/>
    <w:basedOn w:val="BodyText"/>
    <w:next w:val="Normal"/>
    <w:qFormat/>
    <w:rsid w:val="00E74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B68"/>
  </w:style>
  <w:style w:type="paragraph" w:styleId="TableofFigures">
    <w:name w:val="table of figures"/>
    <w:basedOn w:val="Normal"/>
    <w:next w:val="Normal"/>
    <w:semiHidden/>
    <w:rsid w:val="00E74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B68"/>
    <w:rPr>
      <w:rFonts w:ascii="Wingdings" w:hAnsi="Wingdings"/>
    </w:rPr>
  </w:style>
  <w:style w:type="paragraph" w:customStyle="1" w:styleId="TableHeading">
    <w:name w:val="Table Heading"/>
    <w:basedOn w:val="HeadingBase"/>
    <w:rsid w:val="00E74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B68"/>
    <w:rPr>
      <w:color w:val="0033CC"/>
      <w:u w:val="none"/>
    </w:rPr>
  </w:style>
  <w:style w:type="paragraph" w:customStyle="1" w:styleId="BodyTextRight">
    <w:name w:val="Body Text Right"/>
    <w:basedOn w:val="BodyText"/>
    <w:rsid w:val="00E74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B68"/>
    <w:rPr>
      <w:sz w:val="32"/>
    </w:rPr>
  </w:style>
  <w:style w:type="paragraph" w:customStyle="1" w:styleId="HeadingProcedure">
    <w:name w:val="Heading Procedure"/>
    <w:basedOn w:val="HeadingBase"/>
    <w:next w:val="Normal"/>
    <w:rsid w:val="00E74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B68"/>
    <w:pPr>
      <w:spacing w:before="60" w:after="60"/>
    </w:pPr>
  </w:style>
  <w:style w:type="paragraph" w:styleId="ListContinue">
    <w:name w:val="List Continue"/>
    <w:basedOn w:val="List"/>
    <w:rsid w:val="00E74B68"/>
    <w:pPr>
      <w:ind w:firstLine="0"/>
    </w:pPr>
  </w:style>
  <w:style w:type="paragraph" w:customStyle="1" w:styleId="ListNote">
    <w:name w:val="List Note"/>
    <w:basedOn w:val="List"/>
    <w:rsid w:val="00E74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B68"/>
    <w:rPr>
      <w:rFonts w:ascii="Courier New" w:hAnsi="Courier New"/>
    </w:rPr>
  </w:style>
  <w:style w:type="paragraph" w:customStyle="1" w:styleId="NoteBullet">
    <w:name w:val="Note Bullet"/>
    <w:basedOn w:val="Note"/>
    <w:rsid w:val="00E74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B68"/>
    <w:rPr>
      <w:b/>
      <w:smallCaps/>
    </w:rPr>
  </w:style>
  <w:style w:type="paragraph" w:customStyle="1" w:styleId="TableListNumber">
    <w:name w:val="Table List Number"/>
    <w:basedOn w:val="ListNumber"/>
    <w:rsid w:val="00E74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B68"/>
    <w:pPr>
      <w:numPr>
        <w:numId w:val="9"/>
      </w:numPr>
    </w:pPr>
  </w:style>
  <w:style w:type="paragraph" w:customStyle="1" w:styleId="ListAlpha2">
    <w:name w:val="List Alpha 2"/>
    <w:basedOn w:val="List2"/>
    <w:rsid w:val="00E74B68"/>
    <w:pPr>
      <w:numPr>
        <w:numId w:val="8"/>
      </w:numPr>
    </w:pPr>
  </w:style>
  <w:style w:type="paragraph" w:styleId="List2">
    <w:name w:val="List 2"/>
    <w:basedOn w:val="BodyText"/>
    <w:rsid w:val="00E74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B68"/>
    <w:pPr>
      <w:numPr>
        <w:numId w:val="4"/>
      </w:numPr>
    </w:pPr>
  </w:style>
  <w:style w:type="paragraph" w:styleId="ListContinue2">
    <w:name w:val="List Continue 2"/>
    <w:basedOn w:val="List2"/>
    <w:rsid w:val="00E74B68"/>
    <w:pPr>
      <w:ind w:firstLine="0"/>
    </w:pPr>
  </w:style>
  <w:style w:type="paragraph" w:styleId="ListContinue3">
    <w:name w:val="List Continue 3"/>
    <w:basedOn w:val="List3"/>
    <w:rsid w:val="00E74B68"/>
    <w:pPr>
      <w:ind w:left="1021" w:firstLine="0"/>
    </w:pPr>
  </w:style>
  <w:style w:type="paragraph" w:styleId="ListContinue4">
    <w:name w:val="List Continue 4"/>
    <w:basedOn w:val="List4"/>
    <w:rsid w:val="00E74B68"/>
    <w:pPr>
      <w:ind w:firstLine="0"/>
    </w:pPr>
  </w:style>
  <w:style w:type="paragraph" w:styleId="ListContinue5">
    <w:name w:val="List Continue 5"/>
    <w:basedOn w:val="List5"/>
    <w:rsid w:val="00E74B68"/>
    <w:pPr>
      <w:ind w:firstLine="0"/>
    </w:pPr>
  </w:style>
  <w:style w:type="paragraph" w:styleId="ListNumber3">
    <w:name w:val="List Number 3"/>
    <w:basedOn w:val="List3"/>
    <w:rsid w:val="00E74B68"/>
    <w:pPr>
      <w:numPr>
        <w:numId w:val="5"/>
      </w:numPr>
    </w:pPr>
  </w:style>
  <w:style w:type="paragraph" w:styleId="ListNumber4">
    <w:name w:val="List Number 4"/>
    <w:basedOn w:val="List4"/>
    <w:rsid w:val="00E74B68"/>
    <w:pPr>
      <w:numPr>
        <w:numId w:val="6"/>
      </w:numPr>
    </w:pPr>
  </w:style>
  <w:style w:type="paragraph" w:styleId="ListNumber5">
    <w:name w:val="List Number 5"/>
    <w:basedOn w:val="List5"/>
    <w:rsid w:val="00E74B68"/>
    <w:pPr>
      <w:numPr>
        <w:numId w:val="7"/>
      </w:numPr>
    </w:pPr>
  </w:style>
  <w:style w:type="paragraph" w:styleId="BlockText">
    <w:name w:val="Block Text"/>
    <w:basedOn w:val="Normal"/>
    <w:rsid w:val="00E74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B68"/>
    <w:rPr>
      <w:sz w:val="16"/>
      <w:vertAlign w:val="superscript"/>
    </w:rPr>
  </w:style>
  <w:style w:type="character" w:customStyle="1" w:styleId="Symbols">
    <w:name w:val="Symbols"/>
    <w:basedOn w:val="DefaultParagraphFont"/>
    <w:rsid w:val="00E74B68"/>
    <w:rPr>
      <w:rFonts w:ascii="Symbol" w:hAnsi="Symbol"/>
    </w:rPr>
  </w:style>
  <w:style w:type="character" w:customStyle="1" w:styleId="MenuOptions">
    <w:name w:val="Menu Options"/>
    <w:basedOn w:val="DefaultParagraphFont"/>
    <w:rsid w:val="00E74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B68"/>
    <w:rPr>
      <w:b/>
    </w:rPr>
  </w:style>
  <w:style w:type="character" w:customStyle="1" w:styleId="Underlined">
    <w:name w:val="Underlined"/>
    <w:basedOn w:val="DefaultParagraphFont"/>
    <w:rsid w:val="00E74B68"/>
    <w:rPr>
      <w:u w:val="single"/>
    </w:rPr>
  </w:style>
  <w:style w:type="paragraph" w:customStyle="1" w:styleId="TableBodyTextRight">
    <w:name w:val="Table Body Text Right"/>
    <w:basedOn w:val="TableBodyText"/>
    <w:rsid w:val="00E74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B68"/>
    <w:rPr>
      <w:sz w:val="18"/>
    </w:rPr>
  </w:style>
  <w:style w:type="paragraph" w:customStyle="1" w:styleId="BodySmallRight">
    <w:name w:val="Body Small Right"/>
    <w:basedOn w:val="BodyTextRight"/>
    <w:rsid w:val="00E74B68"/>
    <w:rPr>
      <w:sz w:val="18"/>
      <w:szCs w:val="18"/>
    </w:rPr>
  </w:style>
  <w:style w:type="paragraph" w:customStyle="1" w:styleId="MarginEdition">
    <w:name w:val="Margin Edition"/>
    <w:basedOn w:val="MarginNote"/>
    <w:rsid w:val="00E74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B68"/>
    <w:rPr>
      <w:sz w:val="2"/>
      <w:szCs w:val="2"/>
    </w:rPr>
  </w:style>
  <w:style w:type="character" w:customStyle="1" w:styleId="Small">
    <w:name w:val="Small"/>
    <w:basedOn w:val="DefaultParagraphFont"/>
    <w:rsid w:val="00E74B68"/>
    <w:rPr>
      <w:sz w:val="16"/>
    </w:rPr>
  </w:style>
  <w:style w:type="paragraph" w:customStyle="1" w:styleId="WideTable">
    <w:name w:val="Wide Table"/>
    <w:basedOn w:val="Normal"/>
    <w:rsid w:val="00E74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B68"/>
  </w:style>
  <w:style w:type="paragraph" w:styleId="Quote">
    <w:name w:val="Quote"/>
    <w:basedOn w:val="Heading1"/>
    <w:link w:val="QuoteChar"/>
    <w:qFormat/>
    <w:rsid w:val="00E74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B68"/>
    <w:pPr>
      <w:pageBreakBefore/>
    </w:pPr>
  </w:style>
  <w:style w:type="paragraph" w:customStyle="1" w:styleId="Border">
    <w:name w:val="Border"/>
    <w:basedOn w:val="Normal"/>
    <w:qFormat/>
    <w:rsid w:val="00E74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B68"/>
    <w:rPr>
      <w:u w:val="single"/>
    </w:rPr>
  </w:style>
  <w:style w:type="character" w:customStyle="1" w:styleId="BoldandItalics">
    <w:name w:val="Bold and Italics"/>
    <w:qFormat/>
    <w:rsid w:val="00E74B68"/>
    <w:rPr>
      <w:b/>
      <w:i/>
      <w:u w:val="none"/>
    </w:rPr>
  </w:style>
  <w:style w:type="paragraph" w:styleId="BalloonText">
    <w:name w:val="Balloon Text"/>
    <w:basedOn w:val="Normal"/>
    <w:link w:val="BalloonTextChar"/>
    <w:rsid w:val="00E7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B68"/>
    <w:pPr>
      <w:spacing w:before="0" w:after="0"/>
    </w:pPr>
  </w:style>
  <w:style w:type="paragraph" w:customStyle="1" w:styleId="BodyTextBold">
    <w:name w:val="Body Text Bold"/>
    <w:basedOn w:val="BodyText"/>
    <w:qFormat/>
    <w:rsid w:val="00E74B68"/>
    <w:rPr>
      <w:b/>
    </w:rPr>
  </w:style>
  <w:style w:type="character" w:styleId="Hyperlink">
    <w:name w:val="Hyperlink"/>
    <w:basedOn w:val="DefaultParagraphFont"/>
    <w:uiPriority w:val="99"/>
    <w:unhideWhenUsed/>
    <w:rsid w:val="00161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2683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CPCCDE3017 Select and use hand tools and equipment for demolition tasks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