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C7D9B" w:rsidP="00AC7D9B">
      <w:pPr>
        <w:pStyle w:val="Title"/>
      </w:pPr>
      <w:r>
        <w:fldChar w:fldCharType="begin"/>
      </w:r>
      <w:r>
        <w:instrText xml:space="preserve"> TITLE   \* MERGEFORMAT </w:instrText>
      </w:r>
      <w:r>
        <w:fldChar w:fldCharType="separate"/>
      </w:r>
      <w:r>
        <w:t>CPCCDE3016 Identify hazards on demolition sites and apply risk management strategies</w:t>
      </w:r>
      <w:r>
        <w:fldChar w:fldCharType="end"/>
      </w:r>
    </w:p>
    <w:p w:rsidR="00AC7D9B" w:rsidP="00AC7D9B">
      <w:pPr>
        <w:pStyle w:val="Version"/>
        <w:sectPr w:rsidSect="00DB3A1D">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DB3A1D" w:rsidP="00DB3A1D">
      <w:pPr>
        <w:pStyle w:val="SuperHeading"/>
      </w:pPr>
      <w:r w:rsidRPr="00DB3A1D">
        <w:t>CPCCDE3016 Identify hazards on demolition sites and apply risk management strategies</w:t>
      </w:r>
    </w:p>
    <w:p w:rsidR="00000000" w:rsidRPr="00DB3A1D" w:rsidP="00DB3A1D">
      <w:pPr>
        <w:pStyle w:val="Heading1"/>
      </w:pPr>
      <w:bookmarkStart w:id="1" w:name="O_1295058"/>
      <w:bookmarkEnd w:id="1"/>
      <w:r w:rsidRPr="00DB3A1D">
        <w:t>Modification History</w:t>
      </w:r>
    </w:p>
    <w:tbl>
      <w:tblPr>
        <w:tblW w:w="0" w:type="auto"/>
        <w:tblLayout w:type="fixed"/>
        <w:tblCellMar>
          <w:left w:w="62" w:type="dxa"/>
          <w:right w:w="62" w:type="dxa"/>
        </w:tblCellMar>
        <w:tblLook w:val="0000"/>
      </w:tblPr>
      <w:tblGrid>
        <w:gridCol w:w="1128"/>
        <w:gridCol w:w="7944"/>
      </w:tblGrid>
      <w:tr w:rsidTr="00DB3A1D">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DB3A1D">
            <w:pPr>
              <w:pStyle w:val="BodyText"/>
              <w:rPr>
                <w:lang w:val="en-NZ"/>
              </w:rPr>
            </w:pPr>
            <w:r w:rsidRPr="00DB3A1D">
              <w:t>Release 2</w:t>
            </w:r>
          </w:p>
        </w:tc>
        <w:tc>
          <w:tcPr>
            <w:tcW w:w="7944" w:type="dxa"/>
            <w:tcBorders>
              <w:top w:val="nil"/>
              <w:left w:val="nil"/>
              <w:bottom w:val="nil"/>
              <w:right w:val="nil"/>
            </w:tcBorders>
            <w:tcMar>
              <w:top w:w="0" w:type="dxa"/>
              <w:left w:w="62" w:type="dxa"/>
              <w:bottom w:w="0" w:type="dxa"/>
              <w:right w:w="62" w:type="dxa"/>
            </w:tcMar>
          </w:tcPr>
          <w:p w:rsidR="00000000" w:rsidP="00DB3A1D">
            <w:pPr>
              <w:pStyle w:val="BodyText"/>
              <w:rPr>
                <w:lang w:val="en-NZ"/>
              </w:rPr>
            </w:pPr>
            <w:r w:rsidRPr="00DB3A1D">
              <w:t>Updated reference to general construction induction training program.</w:t>
            </w:r>
          </w:p>
        </w:tc>
      </w:tr>
      <w:tr w:rsidTr="00DB3A1D">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DB3A1D">
            <w:pPr>
              <w:pStyle w:val="BodyText"/>
              <w:rPr>
                <w:lang w:val="en-NZ"/>
              </w:rPr>
            </w:pPr>
            <w:r w:rsidRPr="00DB3A1D">
              <w:t>Release 1</w:t>
            </w:r>
          </w:p>
        </w:tc>
        <w:tc>
          <w:tcPr>
            <w:tcW w:w="7944" w:type="dxa"/>
            <w:tcBorders>
              <w:top w:val="nil"/>
              <w:left w:val="nil"/>
              <w:bottom w:val="nil"/>
              <w:right w:val="nil"/>
            </w:tcBorders>
            <w:tcMar>
              <w:top w:w="0" w:type="dxa"/>
              <w:left w:w="62" w:type="dxa"/>
              <w:bottom w:w="0" w:type="dxa"/>
              <w:right w:w="62" w:type="dxa"/>
            </w:tcMar>
          </w:tcPr>
          <w:p w:rsidR="00000000" w:rsidRPr="00DB3A1D" w:rsidP="00DB3A1D">
            <w:pPr>
              <w:pStyle w:val="BodyText"/>
            </w:pPr>
            <w:r w:rsidRPr="00DB3A1D">
              <w:t>This version first released with CPC Construction, Plumbing and Services Training Package Release 5.0.</w:t>
            </w:r>
          </w:p>
          <w:p w:rsidR="00000000" w:rsidRPr="00DB3A1D" w:rsidP="00DB3A1D">
            <w:pPr>
              <w:pStyle w:val="BodyText"/>
            </w:pPr>
            <w:r w:rsidRPr="00DB3A1D">
              <w:t>Supersedes and is equivalent to CPCCDE3016A Identify hazards on demolition sites and apply risk management strategies.  Updated to meet the Standards for</w:t>
            </w:r>
            <w:r w:rsidRPr="00DB3A1D">
              <w:t xml:space="preserve"> Training Packages 2012.</w:t>
            </w:r>
          </w:p>
        </w:tc>
      </w:tr>
    </w:tbl>
    <w:p w:rsidR="00000000" w:rsidRPr="00DB3A1D" w:rsidP="00DB3A1D">
      <w:pPr>
        <w:pStyle w:val="BodyText"/>
      </w:pPr>
    </w:p>
    <w:p w:rsidR="00000000" w:rsidRPr="00DB3A1D" w:rsidP="00DB3A1D">
      <w:pPr>
        <w:pStyle w:val="AllowPageBreak"/>
      </w:pPr>
    </w:p>
    <w:p w:rsidR="00000000" w:rsidRPr="00DB3A1D" w:rsidP="00DB3A1D">
      <w:pPr>
        <w:pStyle w:val="Heading1"/>
      </w:pPr>
      <w:bookmarkStart w:id="2" w:name="O_1295057"/>
      <w:bookmarkEnd w:id="2"/>
      <w:r w:rsidRPr="00DB3A1D">
        <w:t>Application</w:t>
      </w:r>
    </w:p>
    <w:p w:rsidR="00000000" w:rsidRPr="00DB3A1D" w:rsidP="00AC7D9B">
      <w:pPr>
        <w:pStyle w:val="BodyText"/>
      </w:pPr>
      <w:r w:rsidRPr="00DB3A1D">
        <w:t>This unit of competency specifies the skills and knowledge required to identify hazards common to demolition work, and undiscovered hazards that may arise during the course of work on demolition sit</w:t>
      </w:r>
      <w:r w:rsidRPr="00DB3A1D">
        <w:t xml:space="preserve">es. It includes assessing risks and applying risk management strategies according to compliance and workplace requirements. </w:t>
      </w:r>
    </w:p>
    <w:p w:rsidR="00000000" w:rsidRPr="00DB3A1D" w:rsidP="00AC7D9B">
      <w:pPr>
        <w:pStyle w:val="BodyText"/>
      </w:pPr>
      <w:r w:rsidRPr="00DB3A1D">
        <w:t xml:space="preserve">It supports the induction procedure for specialist demolition workers before beginning work on site. </w:t>
      </w:r>
    </w:p>
    <w:p w:rsidR="00000000" w:rsidRPr="00DB3A1D" w:rsidP="00AC7D9B">
      <w:pPr>
        <w:pStyle w:val="BodyText"/>
      </w:pPr>
      <w:r w:rsidRPr="00DB3A1D">
        <w:t>This unit does not replace re</w:t>
      </w:r>
      <w:r w:rsidRPr="00DB3A1D">
        <w:t>quirements for completion of construction work health and safety (WHS) units.</w:t>
      </w:r>
    </w:p>
    <w:p w:rsidR="00000000" w:rsidRPr="00DB3A1D" w:rsidP="00AC7D9B">
      <w:pPr>
        <w:pStyle w:val="BodyText"/>
      </w:pPr>
      <w:r w:rsidRPr="00DB3A1D">
        <w:t>Completion of the general construction induction training program specified by the model code of practice for construction work is required for any person who is to carry out con</w:t>
      </w:r>
      <w:r w:rsidRPr="00DB3A1D">
        <w:t>struction work. Achievement of unit CPCWHS1001 </w:t>
      </w:r>
      <w:r w:rsidRPr="00DB3A1D">
        <w:rPr>
          <w:rStyle w:val="Emphasis"/>
        </w:rPr>
        <w:t>Prepare to work safely in the construction industry</w:t>
      </w:r>
      <w:r w:rsidRPr="00DB3A1D">
        <w:t> meets this requirement.</w:t>
      </w:r>
    </w:p>
    <w:p w:rsidR="00000000" w:rsidRPr="00DB3A1D" w:rsidP="00AC7D9B">
      <w:pPr>
        <w:pStyle w:val="BodyText"/>
      </w:pPr>
      <w:r w:rsidRPr="00DB3A1D">
        <w:t>Licensing, legislative, regulatory or certification requirements apply to demolition work in different states and territories. Candid</w:t>
      </w:r>
      <w:r w:rsidRPr="00DB3A1D">
        <w:t>ates are advised to consult with the relevant regulatory authorities.</w:t>
      </w:r>
    </w:p>
    <w:p w:rsidR="00000000" w:rsidRPr="00DB3A1D" w:rsidP="00DB3A1D">
      <w:pPr>
        <w:pStyle w:val="Heading1"/>
      </w:pPr>
      <w:bookmarkStart w:id="3" w:name="O_1295056"/>
      <w:bookmarkEnd w:id="3"/>
      <w:r w:rsidRPr="00DB3A1D">
        <w:t>Pre-requisite Unit</w:t>
      </w:r>
    </w:p>
    <w:tbl>
      <w:tblPr>
        <w:tblW w:w="0" w:type="auto"/>
        <w:tblLayout w:type="fixed"/>
        <w:tblCellMar>
          <w:left w:w="62" w:type="dxa"/>
          <w:right w:w="62" w:type="dxa"/>
        </w:tblCellMar>
        <w:tblLook w:val="0000"/>
      </w:tblPr>
      <w:tblGrid>
        <w:gridCol w:w="1612"/>
        <w:gridCol w:w="7460"/>
      </w:tblGrid>
      <w:tr w:rsidTr="00DB3A1D">
        <w:tblPrEx>
          <w:tblW w:w="0" w:type="auto"/>
          <w:tblLayout w:type="fixed"/>
          <w:tblCellMar>
            <w:left w:w="62" w:type="dxa"/>
            <w:right w:w="62" w:type="dxa"/>
          </w:tblCellMar>
          <w:tblLook w:val="0000"/>
        </w:tblPrEx>
        <w:tc>
          <w:tcPr>
            <w:tcW w:w="1612" w:type="dxa"/>
            <w:tcBorders>
              <w:top w:val="nil"/>
              <w:left w:val="nil"/>
              <w:bottom w:val="nil"/>
              <w:right w:val="nil"/>
            </w:tcBorders>
            <w:tcMar>
              <w:top w:w="0" w:type="dxa"/>
              <w:left w:w="62" w:type="dxa"/>
              <w:bottom w:w="0" w:type="dxa"/>
              <w:right w:w="62" w:type="dxa"/>
            </w:tcMar>
          </w:tcPr>
          <w:p w:rsidR="00000000" w:rsidP="00DB3A1D">
            <w:pPr>
              <w:pStyle w:val="BodyText"/>
              <w:rPr>
                <w:lang w:val="en-NZ"/>
              </w:rPr>
            </w:pPr>
            <w:r w:rsidRPr="00DB3A1D">
              <w:t>CPCCWHS2001</w:t>
            </w:r>
          </w:p>
        </w:tc>
        <w:tc>
          <w:tcPr>
            <w:tcW w:w="7460" w:type="dxa"/>
            <w:tcBorders>
              <w:top w:val="nil"/>
              <w:left w:val="nil"/>
              <w:bottom w:val="nil"/>
              <w:right w:val="nil"/>
            </w:tcBorders>
            <w:tcMar>
              <w:top w:w="0" w:type="dxa"/>
              <w:left w:w="62" w:type="dxa"/>
              <w:bottom w:w="0" w:type="dxa"/>
              <w:right w:w="62" w:type="dxa"/>
            </w:tcMar>
          </w:tcPr>
          <w:p w:rsidR="00000000" w:rsidRPr="00DB3A1D" w:rsidP="00DB3A1D">
            <w:pPr>
              <w:pStyle w:val="BodyText"/>
            </w:pPr>
            <w:r w:rsidRPr="00DB3A1D">
              <w:t>Apply WHS requirements, policies and procedures in the construction industry</w:t>
            </w:r>
          </w:p>
        </w:tc>
      </w:tr>
    </w:tbl>
    <w:p w:rsidR="00000000" w:rsidRPr="00DB3A1D" w:rsidP="00DB3A1D">
      <w:pPr>
        <w:pStyle w:val="BodyText"/>
      </w:pPr>
    </w:p>
    <w:p w:rsidR="00000000" w:rsidRPr="00DB3A1D" w:rsidP="00DB3A1D">
      <w:pPr>
        <w:pStyle w:val="AllowPageBreak"/>
      </w:pPr>
    </w:p>
    <w:p w:rsidR="00000000" w:rsidRPr="00DB3A1D" w:rsidP="00DB3A1D">
      <w:pPr>
        <w:pStyle w:val="Heading1"/>
      </w:pPr>
      <w:bookmarkStart w:id="4" w:name="O_1295055"/>
      <w:bookmarkEnd w:id="4"/>
      <w:r w:rsidRPr="00DB3A1D">
        <w:t>Unit Sector</w:t>
      </w:r>
    </w:p>
    <w:p w:rsidR="00000000" w:rsidRPr="00DB3A1D" w:rsidP="00AC7D9B">
      <w:pPr>
        <w:pStyle w:val="BodyText"/>
      </w:pPr>
      <w:r w:rsidRPr="00DB3A1D">
        <w:t>Demolition.</w:t>
      </w:r>
    </w:p>
    <w:p w:rsidR="00000000" w:rsidRPr="00DB3A1D" w:rsidP="00DB3A1D">
      <w:pPr>
        <w:pStyle w:val="Heading1"/>
      </w:pPr>
      <w:bookmarkStart w:id="5" w:name="O_1295054"/>
      <w:bookmarkEnd w:id="5"/>
      <w:r w:rsidRPr="00DB3A1D">
        <w:t>Elements and Performance Criteria</w:t>
      </w:r>
    </w:p>
    <w:tbl>
      <w:tblPr>
        <w:tblW w:w="0" w:type="auto"/>
        <w:tblLayout w:type="fixed"/>
        <w:tblCellMar>
          <w:left w:w="62" w:type="dxa"/>
          <w:right w:w="62" w:type="dxa"/>
        </w:tblCellMar>
        <w:tblLook w:val="0000"/>
      </w:tblPr>
      <w:tblGrid>
        <w:gridCol w:w="313"/>
        <w:gridCol w:w="2357"/>
        <w:gridCol w:w="804"/>
        <w:gridCol w:w="5659"/>
      </w:tblGrid>
      <w:tr w:rsidTr="00DB3A1D">
        <w:tblPrEx>
          <w:tblW w:w="0" w:type="auto"/>
          <w:tblLayout w:type="fixed"/>
          <w:tblCellMar>
            <w:left w:w="62" w:type="dxa"/>
            <w:right w:w="62" w:type="dxa"/>
          </w:tblCellMar>
          <w:tblLook w:val="0000"/>
        </w:tblPrEx>
        <w:tc>
          <w:tcPr>
            <w:tcW w:w="2670" w:type="dxa"/>
            <w:gridSpan w:val="2"/>
            <w:tcBorders>
              <w:top w:val="nil"/>
              <w:left w:val="nil"/>
              <w:bottom w:val="nil"/>
              <w:right w:val="nil"/>
            </w:tcBorders>
            <w:tcMar>
              <w:top w:w="0" w:type="dxa"/>
              <w:left w:w="62" w:type="dxa"/>
              <w:bottom w:w="0" w:type="dxa"/>
              <w:right w:w="62" w:type="dxa"/>
            </w:tcMar>
          </w:tcPr>
          <w:p w:rsidR="00000000" w:rsidP="00DB3A1D">
            <w:pPr>
              <w:pStyle w:val="BodyText"/>
              <w:rPr>
                <w:lang w:val="en-NZ"/>
              </w:rPr>
            </w:pPr>
            <w:r w:rsidRPr="00DB3A1D">
              <w:t>Elements describe the essential outcomes.</w:t>
            </w:r>
          </w:p>
        </w:tc>
        <w:tc>
          <w:tcPr>
            <w:tcW w:w="6463" w:type="dxa"/>
            <w:gridSpan w:val="2"/>
            <w:tcBorders>
              <w:top w:val="nil"/>
              <w:left w:val="nil"/>
              <w:bottom w:val="nil"/>
              <w:right w:val="nil"/>
            </w:tcBorders>
            <w:tcMar>
              <w:top w:w="0" w:type="dxa"/>
              <w:left w:w="62" w:type="dxa"/>
              <w:bottom w:w="0" w:type="dxa"/>
              <w:right w:w="62" w:type="dxa"/>
            </w:tcMar>
          </w:tcPr>
          <w:p w:rsidR="00000000" w:rsidP="00DB3A1D">
            <w:pPr>
              <w:pStyle w:val="BodyText"/>
              <w:rPr>
                <w:lang w:val="en-NZ"/>
              </w:rPr>
            </w:pPr>
            <w:r w:rsidRPr="00DB3A1D">
              <w:t>Performance criteria describe what needs to be done to demonstrate achievement of the element.</w:t>
            </w:r>
          </w:p>
        </w:tc>
      </w:tr>
      <w:tr w:rsidTr="00DB3A1D">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DB3A1D">
            <w:pPr>
              <w:pStyle w:val="BodyText"/>
              <w:rPr>
                <w:lang w:val="en-NZ"/>
              </w:rPr>
            </w:pPr>
            <w:r w:rsidRPr="00DB3A1D">
              <w:t>1</w:t>
            </w:r>
          </w:p>
        </w:tc>
        <w:tc>
          <w:tcPr>
            <w:tcW w:w="2357" w:type="dxa"/>
            <w:vMerge w:val="restart"/>
            <w:tcBorders>
              <w:top w:val="nil"/>
              <w:left w:val="nil"/>
              <w:bottom w:val="nil"/>
              <w:right w:val="nil"/>
            </w:tcBorders>
            <w:tcMar>
              <w:top w:w="0" w:type="dxa"/>
              <w:left w:w="62" w:type="dxa"/>
              <w:bottom w:w="0" w:type="dxa"/>
              <w:right w:w="62" w:type="dxa"/>
            </w:tcMar>
          </w:tcPr>
          <w:p w:rsidR="00000000" w:rsidP="00DB3A1D">
            <w:pPr>
              <w:pStyle w:val="BodyText"/>
              <w:rPr>
                <w:lang w:val="en-NZ"/>
              </w:rPr>
            </w:pPr>
            <w:r w:rsidRPr="00DB3A1D">
              <w:t>Review site and work plans.</w:t>
            </w:r>
          </w:p>
        </w:tc>
        <w:tc>
          <w:tcPr>
            <w:tcW w:w="804" w:type="dxa"/>
            <w:tcBorders>
              <w:top w:val="nil"/>
              <w:left w:val="nil"/>
              <w:bottom w:val="nil"/>
              <w:right w:val="nil"/>
            </w:tcBorders>
            <w:tcMar>
              <w:top w:w="0" w:type="dxa"/>
              <w:left w:w="62" w:type="dxa"/>
              <w:bottom w:w="0" w:type="dxa"/>
              <w:right w:w="62" w:type="dxa"/>
            </w:tcMar>
          </w:tcPr>
          <w:p w:rsidR="00000000" w:rsidP="00DB3A1D">
            <w:pPr>
              <w:pStyle w:val="BodyText"/>
              <w:rPr>
                <w:lang w:val="en-NZ"/>
              </w:rPr>
            </w:pPr>
            <w:r w:rsidRPr="00DB3A1D">
              <w:t>1.1</w:t>
            </w:r>
          </w:p>
        </w:tc>
        <w:tc>
          <w:tcPr>
            <w:tcW w:w="5659" w:type="dxa"/>
            <w:tcBorders>
              <w:top w:val="nil"/>
              <w:left w:val="nil"/>
              <w:bottom w:val="nil"/>
              <w:right w:val="nil"/>
            </w:tcBorders>
            <w:tcMar>
              <w:top w:w="0" w:type="dxa"/>
              <w:left w:w="62" w:type="dxa"/>
              <w:bottom w:w="0" w:type="dxa"/>
              <w:right w:w="62" w:type="dxa"/>
            </w:tcMar>
          </w:tcPr>
          <w:p w:rsidR="00000000" w:rsidP="00DB3A1D">
            <w:pPr>
              <w:pStyle w:val="BodyText"/>
              <w:rPr>
                <w:lang w:val="en-NZ"/>
              </w:rPr>
            </w:pPr>
            <w:r w:rsidRPr="00DB3A1D">
              <w:t>Identify issues relating to the age and integrity of buildings and structures, and construction methods and materials used, and apply this to review potential risks.</w:t>
            </w:r>
          </w:p>
        </w:tc>
      </w:tr>
      <w:tr w:rsidTr="00DB3A1D">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DB3A1D">
            <w:pPr>
              <w:pStyle w:val="BodyText"/>
              <w:rPr>
                <w:lang w:val="en-NZ"/>
              </w:rPr>
            </w:pPr>
            <w:r w:rsidRPr="00DB3A1D">
              <w:t>1.2</w:t>
            </w:r>
          </w:p>
        </w:tc>
        <w:tc>
          <w:tcPr>
            <w:tcW w:w="5659" w:type="dxa"/>
            <w:tcBorders>
              <w:top w:val="nil"/>
              <w:left w:val="nil"/>
              <w:bottom w:val="nil"/>
              <w:right w:val="nil"/>
            </w:tcBorders>
            <w:tcMar>
              <w:top w:w="0" w:type="dxa"/>
              <w:left w:w="62" w:type="dxa"/>
              <w:bottom w:w="0" w:type="dxa"/>
              <w:right w:w="62" w:type="dxa"/>
            </w:tcMar>
          </w:tcPr>
          <w:p w:rsidR="00000000" w:rsidP="00DB3A1D">
            <w:pPr>
              <w:pStyle w:val="BodyText"/>
              <w:rPr>
                <w:lang w:val="en-NZ"/>
              </w:rPr>
            </w:pPr>
            <w:r w:rsidRPr="00DB3A1D">
              <w:t>Review approved demolition plan and safe work method statements (SWMS) and apply in</w:t>
            </w:r>
            <w:r w:rsidRPr="00DB3A1D">
              <w:t>formation relating to hazards and risk management strategies to participation in job briefing according to work role requirements.</w:t>
            </w:r>
          </w:p>
        </w:tc>
      </w:tr>
      <w:tr w:rsidTr="00DB3A1D">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DB3A1D">
            <w:pPr>
              <w:pStyle w:val="BodyText"/>
              <w:rPr>
                <w:lang w:val="en-NZ"/>
              </w:rPr>
            </w:pPr>
            <w:r w:rsidRPr="00DB3A1D">
              <w:t>1.3</w:t>
            </w:r>
          </w:p>
        </w:tc>
        <w:tc>
          <w:tcPr>
            <w:tcW w:w="5659" w:type="dxa"/>
            <w:tcBorders>
              <w:top w:val="nil"/>
              <w:left w:val="nil"/>
              <w:bottom w:val="nil"/>
              <w:right w:val="nil"/>
            </w:tcBorders>
            <w:tcMar>
              <w:top w:w="0" w:type="dxa"/>
              <w:left w:w="62" w:type="dxa"/>
              <w:bottom w:w="0" w:type="dxa"/>
              <w:right w:w="62" w:type="dxa"/>
            </w:tcMar>
          </w:tcPr>
          <w:p w:rsidR="00000000" w:rsidP="00DB3A1D">
            <w:pPr>
              <w:pStyle w:val="BodyText"/>
              <w:rPr>
                <w:lang w:val="en-NZ"/>
              </w:rPr>
            </w:pPr>
            <w:r w:rsidRPr="00DB3A1D">
              <w:t>Identify and clarify job roles and responsibilities for people involved in the demolition according to workplace proce</w:t>
            </w:r>
            <w:r w:rsidRPr="00DB3A1D">
              <w:t>dures.</w:t>
            </w:r>
          </w:p>
        </w:tc>
      </w:tr>
      <w:tr w:rsidTr="00DB3A1D">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DB3A1D">
            <w:pPr>
              <w:pStyle w:val="BodyText"/>
              <w:rPr>
                <w:lang w:val="en-NZ"/>
              </w:rPr>
            </w:pPr>
          </w:p>
        </w:tc>
      </w:tr>
      <w:tr w:rsidTr="00DB3A1D">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DB3A1D">
            <w:pPr>
              <w:pStyle w:val="BodyText"/>
              <w:rPr>
                <w:lang w:val="en-NZ"/>
              </w:rPr>
            </w:pPr>
            <w:r w:rsidRPr="00DB3A1D">
              <w:t>2</w:t>
            </w:r>
          </w:p>
        </w:tc>
        <w:tc>
          <w:tcPr>
            <w:tcW w:w="2357" w:type="dxa"/>
            <w:vMerge w:val="restart"/>
            <w:tcBorders>
              <w:top w:val="nil"/>
              <w:left w:val="nil"/>
              <w:bottom w:val="nil"/>
              <w:right w:val="nil"/>
            </w:tcBorders>
            <w:tcMar>
              <w:top w:w="0" w:type="dxa"/>
              <w:left w:w="62" w:type="dxa"/>
              <w:bottom w:w="0" w:type="dxa"/>
              <w:right w:w="62" w:type="dxa"/>
            </w:tcMar>
          </w:tcPr>
          <w:p w:rsidR="00000000" w:rsidP="00DB3A1D">
            <w:pPr>
              <w:pStyle w:val="BodyText"/>
              <w:rPr>
                <w:lang w:val="en-NZ"/>
              </w:rPr>
            </w:pPr>
            <w:r w:rsidRPr="00DB3A1D">
              <w:t>Apply WHS risk management strategies to work activities on demolition sites.</w:t>
            </w:r>
          </w:p>
        </w:tc>
        <w:tc>
          <w:tcPr>
            <w:tcW w:w="804" w:type="dxa"/>
            <w:tcBorders>
              <w:top w:val="nil"/>
              <w:left w:val="nil"/>
              <w:bottom w:val="nil"/>
              <w:right w:val="nil"/>
            </w:tcBorders>
            <w:tcMar>
              <w:top w:w="0" w:type="dxa"/>
              <w:left w:w="62" w:type="dxa"/>
              <w:bottom w:w="0" w:type="dxa"/>
              <w:right w:w="62" w:type="dxa"/>
            </w:tcMar>
          </w:tcPr>
          <w:p w:rsidR="00000000" w:rsidP="00DB3A1D">
            <w:pPr>
              <w:pStyle w:val="BodyText"/>
              <w:rPr>
                <w:lang w:val="en-NZ"/>
              </w:rPr>
            </w:pPr>
            <w:r w:rsidRPr="00DB3A1D">
              <w:t>2.1</w:t>
            </w:r>
          </w:p>
        </w:tc>
        <w:tc>
          <w:tcPr>
            <w:tcW w:w="5659" w:type="dxa"/>
            <w:tcBorders>
              <w:top w:val="nil"/>
              <w:left w:val="nil"/>
              <w:bottom w:val="nil"/>
              <w:right w:val="nil"/>
            </w:tcBorders>
            <w:tcMar>
              <w:top w:w="0" w:type="dxa"/>
              <w:left w:w="62" w:type="dxa"/>
              <w:bottom w:w="0" w:type="dxa"/>
              <w:right w:w="62" w:type="dxa"/>
            </w:tcMar>
          </w:tcPr>
          <w:p w:rsidR="00000000" w:rsidP="00DB3A1D">
            <w:pPr>
              <w:pStyle w:val="BodyText"/>
              <w:rPr>
                <w:lang w:val="en-NZ"/>
              </w:rPr>
            </w:pPr>
            <w:r w:rsidRPr="00DB3A1D">
              <w:t>Identify and apply compliance, site and workplace requirements to work tasks and appropriate personal protective equipment (PPE).</w:t>
            </w:r>
          </w:p>
        </w:tc>
      </w:tr>
      <w:tr w:rsidTr="00DB3A1D">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DB3A1D">
            <w:pPr>
              <w:pStyle w:val="BodyText"/>
              <w:rPr>
                <w:lang w:val="en-NZ"/>
              </w:rPr>
            </w:pPr>
            <w:r w:rsidRPr="00DB3A1D">
              <w:t>2.2</w:t>
            </w:r>
          </w:p>
        </w:tc>
        <w:tc>
          <w:tcPr>
            <w:tcW w:w="5659" w:type="dxa"/>
            <w:tcBorders>
              <w:top w:val="nil"/>
              <w:left w:val="nil"/>
              <w:bottom w:val="nil"/>
              <w:right w:val="nil"/>
            </w:tcBorders>
            <w:tcMar>
              <w:top w:w="0" w:type="dxa"/>
              <w:left w:w="62" w:type="dxa"/>
              <w:bottom w:w="0" w:type="dxa"/>
              <w:right w:w="62" w:type="dxa"/>
            </w:tcMar>
          </w:tcPr>
          <w:p w:rsidR="00000000" w:rsidP="00DB3A1D">
            <w:pPr>
              <w:pStyle w:val="BodyText"/>
              <w:rPr>
                <w:lang w:val="en-NZ"/>
              </w:rPr>
            </w:pPr>
            <w:r w:rsidRPr="00DB3A1D">
              <w:t>Identify hazards that may cause trips, falls or falling objects and apply risk management strategies.</w:t>
            </w:r>
          </w:p>
        </w:tc>
      </w:tr>
      <w:tr w:rsidTr="00DB3A1D">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DB3A1D">
            <w:pPr>
              <w:pStyle w:val="BodyText"/>
              <w:rPr>
                <w:lang w:val="en-NZ"/>
              </w:rPr>
            </w:pPr>
            <w:r w:rsidRPr="00DB3A1D">
              <w:t>2.3</w:t>
            </w:r>
          </w:p>
        </w:tc>
        <w:tc>
          <w:tcPr>
            <w:tcW w:w="5659" w:type="dxa"/>
            <w:tcBorders>
              <w:top w:val="nil"/>
              <w:left w:val="nil"/>
              <w:bottom w:val="nil"/>
              <w:right w:val="nil"/>
            </w:tcBorders>
            <w:tcMar>
              <w:top w:w="0" w:type="dxa"/>
              <w:left w:w="62" w:type="dxa"/>
              <w:bottom w:w="0" w:type="dxa"/>
              <w:right w:w="62" w:type="dxa"/>
            </w:tcMar>
          </w:tcPr>
          <w:p w:rsidR="00000000" w:rsidP="00DB3A1D">
            <w:pPr>
              <w:pStyle w:val="BodyText"/>
              <w:rPr>
                <w:lang w:val="en-NZ"/>
              </w:rPr>
            </w:pPr>
            <w:r w:rsidRPr="00DB3A1D">
              <w:t>Identify hazards relating to hazardous substances and apply risk management strategies.</w:t>
            </w:r>
          </w:p>
        </w:tc>
      </w:tr>
      <w:tr w:rsidTr="00DB3A1D">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DB3A1D">
            <w:pPr>
              <w:pStyle w:val="BodyText"/>
              <w:rPr>
                <w:lang w:val="en-NZ"/>
              </w:rPr>
            </w:pPr>
            <w:r w:rsidRPr="00DB3A1D">
              <w:t>2.4</w:t>
            </w:r>
          </w:p>
        </w:tc>
        <w:tc>
          <w:tcPr>
            <w:tcW w:w="5659" w:type="dxa"/>
            <w:tcBorders>
              <w:top w:val="nil"/>
              <w:left w:val="nil"/>
              <w:bottom w:val="nil"/>
              <w:right w:val="nil"/>
            </w:tcBorders>
            <w:tcMar>
              <w:top w:w="0" w:type="dxa"/>
              <w:left w:w="62" w:type="dxa"/>
              <w:bottom w:w="0" w:type="dxa"/>
              <w:right w:w="62" w:type="dxa"/>
            </w:tcMar>
          </w:tcPr>
          <w:p w:rsidR="00000000" w:rsidP="00DB3A1D">
            <w:pPr>
              <w:pStyle w:val="BodyText"/>
              <w:rPr>
                <w:lang w:val="en-NZ"/>
              </w:rPr>
            </w:pPr>
            <w:r w:rsidRPr="00DB3A1D">
              <w:t>Identify hazards relating to structural composition and integrity of structures and apply risk management strategies.</w:t>
            </w:r>
          </w:p>
        </w:tc>
      </w:tr>
      <w:tr w:rsidTr="00DB3A1D">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DB3A1D">
            <w:pPr>
              <w:pStyle w:val="BodyText"/>
              <w:rPr>
                <w:lang w:val="en-NZ"/>
              </w:rPr>
            </w:pPr>
            <w:r w:rsidRPr="00DB3A1D">
              <w:t>2.5</w:t>
            </w:r>
          </w:p>
        </w:tc>
        <w:tc>
          <w:tcPr>
            <w:tcW w:w="5659" w:type="dxa"/>
            <w:tcBorders>
              <w:top w:val="nil"/>
              <w:left w:val="nil"/>
              <w:bottom w:val="nil"/>
              <w:right w:val="nil"/>
            </w:tcBorders>
            <w:tcMar>
              <w:top w:w="0" w:type="dxa"/>
              <w:left w:w="62" w:type="dxa"/>
              <w:bottom w:w="0" w:type="dxa"/>
              <w:right w:w="62" w:type="dxa"/>
            </w:tcMar>
          </w:tcPr>
          <w:p w:rsidR="00000000" w:rsidP="00DB3A1D">
            <w:pPr>
              <w:pStyle w:val="BodyText"/>
              <w:rPr>
                <w:lang w:val="en-NZ"/>
              </w:rPr>
            </w:pPr>
            <w:r w:rsidRPr="00DB3A1D">
              <w:t>Identify hazards relating to services and apply risk management strategies.</w:t>
            </w:r>
          </w:p>
        </w:tc>
      </w:tr>
      <w:tr w:rsidTr="00DB3A1D">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DB3A1D">
            <w:pPr>
              <w:pStyle w:val="BodyText"/>
              <w:rPr>
                <w:lang w:val="en-NZ"/>
              </w:rPr>
            </w:pPr>
            <w:r w:rsidRPr="00DB3A1D">
              <w:t>2.6</w:t>
            </w:r>
          </w:p>
        </w:tc>
        <w:tc>
          <w:tcPr>
            <w:tcW w:w="5659" w:type="dxa"/>
            <w:tcBorders>
              <w:top w:val="nil"/>
              <w:left w:val="nil"/>
              <w:bottom w:val="nil"/>
              <w:right w:val="nil"/>
            </w:tcBorders>
            <w:tcMar>
              <w:top w:w="0" w:type="dxa"/>
              <w:left w:w="62" w:type="dxa"/>
              <w:bottom w:w="0" w:type="dxa"/>
              <w:right w:w="62" w:type="dxa"/>
            </w:tcMar>
          </w:tcPr>
          <w:p w:rsidR="00000000" w:rsidP="00DB3A1D">
            <w:pPr>
              <w:pStyle w:val="BodyText"/>
              <w:rPr>
                <w:lang w:val="en-NZ"/>
              </w:rPr>
            </w:pPr>
            <w:r w:rsidRPr="00DB3A1D">
              <w:t>Identify hazards relating to the use of mobile a</w:t>
            </w:r>
            <w:r w:rsidRPr="00DB3A1D">
              <w:t>nd static plant, tools and equipment and apply risk management strategies.</w:t>
            </w:r>
          </w:p>
        </w:tc>
      </w:tr>
      <w:tr w:rsidTr="00DB3A1D">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DB3A1D">
            <w:pPr>
              <w:pStyle w:val="BodyText"/>
              <w:rPr>
                <w:lang w:val="en-NZ"/>
              </w:rPr>
            </w:pPr>
            <w:r w:rsidRPr="00DB3A1D">
              <w:t>2.7</w:t>
            </w:r>
          </w:p>
        </w:tc>
        <w:tc>
          <w:tcPr>
            <w:tcW w:w="5659" w:type="dxa"/>
            <w:tcBorders>
              <w:top w:val="nil"/>
              <w:left w:val="nil"/>
              <w:bottom w:val="nil"/>
              <w:right w:val="nil"/>
            </w:tcBorders>
            <w:tcMar>
              <w:top w:w="0" w:type="dxa"/>
              <w:left w:w="62" w:type="dxa"/>
              <w:bottom w:w="0" w:type="dxa"/>
              <w:right w:w="62" w:type="dxa"/>
            </w:tcMar>
          </w:tcPr>
          <w:p w:rsidR="00000000" w:rsidP="00DB3A1D">
            <w:pPr>
              <w:pStyle w:val="BodyText"/>
              <w:rPr>
                <w:lang w:val="en-NZ"/>
              </w:rPr>
            </w:pPr>
            <w:r w:rsidRPr="00DB3A1D">
              <w:t>Identify hazards relating to the use of high reach excavators and apply risk management strategies.</w:t>
            </w:r>
          </w:p>
        </w:tc>
      </w:tr>
      <w:tr w:rsidTr="00DB3A1D">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DB3A1D">
            <w:pPr>
              <w:pStyle w:val="BodyText"/>
              <w:rPr>
                <w:lang w:val="en-NZ"/>
              </w:rPr>
            </w:pPr>
            <w:r w:rsidRPr="00DB3A1D">
              <w:t>2.8</w:t>
            </w:r>
          </w:p>
        </w:tc>
        <w:tc>
          <w:tcPr>
            <w:tcW w:w="5659" w:type="dxa"/>
            <w:tcBorders>
              <w:top w:val="nil"/>
              <w:left w:val="nil"/>
              <w:bottom w:val="nil"/>
              <w:right w:val="nil"/>
            </w:tcBorders>
            <w:tcMar>
              <w:top w:w="0" w:type="dxa"/>
              <w:left w:w="62" w:type="dxa"/>
              <w:bottom w:w="0" w:type="dxa"/>
              <w:right w:w="62" w:type="dxa"/>
            </w:tcMar>
          </w:tcPr>
          <w:p w:rsidR="00000000" w:rsidP="00DB3A1D">
            <w:pPr>
              <w:pStyle w:val="BodyText"/>
              <w:rPr>
                <w:lang w:val="en-NZ"/>
              </w:rPr>
            </w:pPr>
            <w:r w:rsidRPr="00DB3A1D">
              <w:t>Identify hazards relating to noise, dust and vibrations and apply risk management strategies.</w:t>
            </w:r>
          </w:p>
        </w:tc>
      </w:tr>
      <w:tr w:rsidTr="00DB3A1D">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DB3A1D">
            <w:pPr>
              <w:pStyle w:val="BodyText"/>
              <w:rPr>
                <w:lang w:val="en-NZ"/>
              </w:rPr>
            </w:pPr>
            <w:r w:rsidRPr="00DB3A1D">
              <w:t>2.9</w:t>
            </w:r>
          </w:p>
        </w:tc>
        <w:tc>
          <w:tcPr>
            <w:tcW w:w="5659" w:type="dxa"/>
            <w:tcBorders>
              <w:top w:val="nil"/>
              <w:left w:val="nil"/>
              <w:bottom w:val="nil"/>
              <w:right w:val="nil"/>
            </w:tcBorders>
            <w:tcMar>
              <w:top w:w="0" w:type="dxa"/>
              <w:left w:w="62" w:type="dxa"/>
              <w:bottom w:w="0" w:type="dxa"/>
              <w:right w:w="62" w:type="dxa"/>
            </w:tcMar>
          </w:tcPr>
          <w:p w:rsidR="00000000" w:rsidP="00DB3A1D">
            <w:pPr>
              <w:pStyle w:val="BodyText"/>
              <w:rPr>
                <w:lang w:val="en-NZ"/>
              </w:rPr>
            </w:pPr>
            <w:r w:rsidRPr="00DB3A1D">
              <w:t xml:space="preserve">Identify hazards that may cause fire or explosions and </w:t>
            </w:r>
            <w:r w:rsidRPr="00DB3A1D">
              <w:t>apply risk management strategies.</w:t>
            </w:r>
          </w:p>
        </w:tc>
      </w:tr>
      <w:tr w:rsidTr="00DB3A1D">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DB3A1D">
            <w:pPr>
              <w:pStyle w:val="BodyText"/>
              <w:rPr>
                <w:lang w:val="en-NZ"/>
              </w:rPr>
            </w:pPr>
            <w:r w:rsidRPr="00DB3A1D">
              <w:t>2.10</w:t>
            </w:r>
          </w:p>
        </w:tc>
        <w:tc>
          <w:tcPr>
            <w:tcW w:w="5659" w:type="dxa"/>
            <w:tcBorders>
              <w:top w:val="nil"/>
              <w:left w:val="nil"/>
              <w:bottom w:val="nil"/>
              <w:right w:val="nil"/>
            </w:tcBorders>
            <w:tcMar>
              <w:top w:w="0" w:type="dxa"/>
              <w:left w:w="62" w:type="dxa"/>
              <w:bottom w:w="0" w:type="dxa"/>
              <w:right w:w="62" w:type="dxa"/>
            </w:tcMar>
          </w:tcPr>
          <w:p w:rsidR="00000000" w:rsidP="00DB3A1D">
            <w:pPr>
              <w:pStyle w:val="BodyText"/>
              <w:rPr>
                <w:lang w:val="en-NZ"/>
              </w:rPr>
            </w:pPr>
            <w:r w:rsidRPr="00DB3A1D">
              <w:t>Monitor worksite during demolition process for signs of un</w:t>
            </w:r>
            <w:r w:rsidRPr="00DB3A1D">
              <w:t>discovered hazards and apply risk management strategies.</w:t>
            </w:r>
          </w:p>
        </w:tc>
      </w:tr>
      <w:tr w:rsidTr="00DB3A1D">
        <w:tblPrEx>
          <w:tblW w:w="0" w:type="auto"/>
          <w:tblLayout w:type="fixed"/>
          <w:tblCellMar>
            <w:left w:w="62" w:type="dxa"/>
            <w:right w:w="62" w:type="dxa"/>
          </w:tblCellMar>
          <w:tblLook w:val="0000"/>
        </w:tblPrEx>
        <w:tc>
          <w:tcPr>
            <w:tcW w:w="31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DB3A1D">
            <w:pPr>
              <w:pStyle w:val="BodyText"/>
              <w:rPr>
                <w:lang w:val="en-NZ"/>
              </w:rPr>
            </w:pPr>
            <w:r w:rsidRPr="00DB3A1D">
              <w:t>2.11</w:t>
            </w:r>
          </w:p>
        </w:tc>
        <w:tc>
          <w:tcPr>
            <w:tcW w:w="5659" w:type="dxa"/>
            <w:tcBorders>
              <w:top w:val="nil"/>
              <w:left w:val="nil"/>
              <w:bottom w:val="nil"/>
              <w:right w:val="nil"/>
            </w:tcBorders>
            <w:tcMar>
              <w:top w:w="0" w:type="dxa"/>
              <w:left w:w="62" w:type="dxa"/>
              <w:bottom w:w="0" w:type="dxa"/>
              <w:right w:w="62" w:type="dxa"/>
            </w:tcMar>
          </w:tcPr>
          <w:p w:rsidR="00000000" w:rsidP="00DB3A1D">
            <w:pPr>
              <w:pStyle w:val="BodyText"/>
              <w:rPr>
                <w:lang w:val="en-NZ"/>
              </w:rPr>
            </w:pPr>
            <w:r w:rsidRPr="00DB3A1D">
              <w:t>Report WHS hazards and incidents.</w:t>
            </w:r>
          </w:p>
        </w:tc>
      </w:tr>
      <w:tr w:rsidTr="00DB3A1D">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DB3A1D">
            <w:pPr>
              <w:pStyle w:val="BodyText"/>
              <w:rPr>
                <w:lang w:val="en-NZ"/>
              </w:rPr>
            </w:pPr>
          </w:p>
        </w:tc>
      </w:tr>
      <w:tr w:rsidTr="00DB3A1D">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DB3A1D">
            <w:pPr>
              <w:pStyle w:val="BodyText"/>
              <w:rPr>
                <w:lang w:val="en-NZ"/>
              </w:rPr>
            </w:pPr>
            <w:r w:rsidRPr="00DB3A1D">
              <w:t>3</w:t>
            </w:r>
          </w:p>
        </w:tc>
        <w:tc>
          <w:tcPr>
            <w:tcW w:w="2357" w:type="dxa"/>
            <w:vMerge w:val="restart"/>
            <w:tcBorders>
              <w:top w:val="nil"/>
              <w:left w:val="nil"/>
              <w:bottom w:val="nil"/>
              <w:right w:val="nil"/>
            </w:tcBorders>
            <w:tcMar>
              <w:top w:w="0" w:type="dxa"/>
              <w:left w:w="62" w:type="dxa"/>
              <w:bottom w:w="0" w:type="dxa"/>
              <w:right w:w="62" w:type="dxa"/>
            </w:tcMar>
          </w:tcPr>
          <w:p w:rsidR="00000000" w:rsidP="00DB3A1D">
            <w:pPr>
              <w:pStyle w:val="BodyText"/>
              <w:rPr>
                <w:lang w:val="en-NZ"/>
              </w:rPr>
            </w:pPr>
            <w:r w:rsidRPr="00DB3A1D">
              <w:t>Apply public health and safety risk management strategies on demolition sites.</w:t>
            </w:r>
          </w:p>
        </w:tc>
        <w:tc>
          <w:tcPr>
            <w:tcW w:w="804" w:type="dxa"/>
            <w:tcBorders>
              <w:top w:val="nil"/>
              <w:left w:val="nil"/>
              <w:bottom w:val="nil"/>
              <w:right w:val="nil"/>
            </w:tcBorders>
            <w:tcMar>
              <w:top w:w="0" w:type="dxa"/>
              <w:left w:w="62" w:type="dxa"/>
              <w:bottom w:w="0" w:type="dxa"/>
              <w:right w:w="62" w:type="dxa"/>
            </w:tcMar>
          </w:tcPr>
          <w:p w:rsidR="00000000" w:rsidP="00DB3A1D">
            <w:pPr>
              <w:pStyle w:val="BodyText"/>
              <w:rPr>
                <w:lang w:val="en-NZ"/>
              </w:rPr>
            </w:pPr>
            <w:r w:rsidRPr="00DB3A1D">
              <w:t>3.1</w:t>
            </w:r>
          </w:p>
        </w:tc>
        <w:tc>
          <w:tcPr>
            <w:tcW w:w="5659" w:type="dxa"/>
            <w:tcBorders>
              <w:top w:val="nil"/>
              <w:left w:val="nil"/>
              <w:bottom w:val="nil"/>
              <w:right w:val="nil"/>
            </w:tcBorders>
            <w:tcMar>
              <w:top w:w="0" w:type="dxa"/>
              <w:left w:w="62" w:type="dxa"/>
              <w:bottom w:w="0" w:type="dxa"/>
              <w:right w:w="62" w:type="dxa"/>
            </w:tcMar>
          </w:tcPr>
          <w:p w:rsidR="00000000" w:rsidP="00DB3A1D">
            <w:pPr>
              <w:pStyle w:val="BodyText"/>
              <w:rPr>
                <w:lang w:val="en-NZ"/>
              </w:rPr>
            </w:pPr>
            <w:r w:rsidRPr="00DB3A1D">
              <w:t>Identify site boundaries and exclusion zones and implement strategies to prevent access by unauthorised persons.</w:t>
            </w:r>
          </w:p>
        </w:tc>
      </w:tr>
      <w:tr w:rsidTr="00DB3A1D">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DB3A1D">
            <w:pPr>
              <w:pStyle w:val="BodyText"/>
              <w:rPr>
                <w:lang w:val="en-NZ"/>
              </w:rPr>
            </w:pPr>
            <w:r w:rsidRPr="00DB3A1D">
              <w:t>3.2</w:t>
            </w:r>
          </w:p>
        </w:tc>
        <w:tc>
          <w:tcPr>
            <w:tcW w:w="5659" w:type="dxa"/>
            <w:tcBorders>
              <w:top w:val="nil"/>
              <w:left w:val="nil"/>
              <w:bottom w:val="nil"/>
              <w:right w:val="nil"/>
            </w:tcBorders>
            <w:tcMar>
              <w:top w:w="0" w:type="dxa"/>
              <w:left w:w="62" w:type="dxa"/>
              <w:bottom w:w="0" w:type="dxa"/>
              <w:right w:w="62" w:type="dxa"/>
            </w:tcMar>
          </w:tcPr>
          <w:p w:rsidR="00000000" w:rsidP="00DB3A1D">
            <w:pPr>
              <w:pStyle w:val="BodyText"/>
              <w:rPr>
                <w:lang w:val="en-NZ"/>
              </w:rPr>
            </w:pPr>
            <w:r w:rsidRPr="00DB3A1D">
              <w:t>Identify site traffic access and egress points and pedestrian and vehicle routes and apply traffic management plans.</w:t>
            </w:r>
          </w:p>
        </w:tc>
      </w:tr>
      <w:tr w:rsidTr="00DB3A1D">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DB3A1D">
            <w:pPr>
              <w:pStyle w:val="BodyText"/>
              <w:rPr>
                <w:lang w:val="en-NZ"/>
              </w:rPr>
            </w:pPr>
            <w:r w:rsidRPr="00DB3A1D">
              <w:t>3.3</w:t>
            </w:r>
          </w:p>
        </w:tc>
        <w:tc>
          <w:tcPr>
            <w:tcW w:w="5659" w:type="dxa"/>
            <w:tcBorders>
              <w:top w:val="nil"/>
              <w:left w:val="nil"/>
              <w:bottom w:val="nil"/>
              <w:right w:val="nil"/>
            </w:tcBorders>
            <w:tcMar>
              <w:top w:w="0" w:type="dxa"/>
              <w:left w:w="62" w:type="dxa"/>
              <w:bottom w:w="0" w:type="dxa"/>
              <w:right w:w="62" w:type="dxa"/>
            </w:tcMar>
          </w:tcPr>
          <w:p w:rsidR="00000000" w:rsidP="00DB3A1D">
            <w:pPr>
              <w:pStyle w:val="BodyText"/>
              <w:rPr>
                <w:lang w:val="en-NZ"/>
              </w:rPr>
            </w:pPr>
            <w:r w:rsidRPr="00DB3A1D">
              <w:t>Identify demolition activities with potential to cause dust, noise and vibrations and apply risk management strategies.</w:t>
            </w:r>
          </w:p>
        </w:tc>
      </w:tr>
      <w:tr w:rsidTr="00DB3A1D">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DB3A1D">
            <w:pPr>
              <w:pStyle w:val="BodyText"/>
              <w:rPr>
                <w:lang w:val="en-NZ"/>
              </w:rPr>
            </w:pPr>
            <w:r w:rsidRPr="00DB3A1D">
              <w:t>3.4</w:t>
            </w:r>
          </w:p>
        </w:tc>
        <w:tc>
          <w:tcPr>
            <w:tcW w:w="5659" w:type="dxa"/>
            <w:tcBorders>
              <w:top w:val="nil"/>
              <w:left w:val="nil"/>
              <w:bottom w:val="nil"/>
              <w:right w:val="nil"/>
            </w:tcBorders>
            <w:tcMar>
              <w:top w:w="0" w:type="dxa"/>
              <w:left w:w="62" w:type="dxa"/>
              <w:bottom w:w="0" w:type="dxa"/>
              <w:right w:w="62" w:type="dxa"/>
            </w:tcMar>
          </w:tcPr>
          <w:p w:rsidR="00000000" w:rsidP="00DB3A1D">
            <w:pPr>
              <w:pStyle w:val="BodyText"/>
              <w:rPr>
                <w:lang w:val="en-NZ"/>
              </w:rPr>
            </w:pPr>
            <w:r w:rsidRPr="00DB3A1D">
              <w:t>Identify demolition activities which may result in falling structures, flying debris or with the potential to affect structural i</w:t>
            </w:r>
            <w:r w:rsidRPr="00DB3A1D">
              <w:t>ntegrity of adjoining buildings and apply risk management strategies.</w:t>
            </w:r>
          </w:p>
        </w:tc>
      </w:tr>
      <w:tr w:rsidTr="00DB3A1D">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DB3A1D">
            <w:pPr>
              <w:pStyle w:val="BodyText"/>
              <w:rPr>
                <w:lang w:val="en-NZ"/>
              </w:rPr>
            </w:pPr>
            <w:r w:rsidRPr="00DB3A1D">
              <w:t>3.5</w:t>
            </w:r>
          </w:p>
        </w:tc>
        <w:tc>
          <w:tcPr>
            <w:tcW w:w="5659" w:type="dxa"/>
            <w:tcBorders>
              <w:top w:val="nil"/>
              <w:left w:val="nil"/>
              <w:bottom w:val="nil"/>
              <w:right w:val="nil"/>
            </w:tcBorders>
            <w:tcMar>
              <w:top w:w="0" w:type="dxa"/>
              <w:left w:w="62" w:type="dxa"/>
              <w:bottom w:w="0" w:type="dxa"/>
              <w:right w:w="62" w:type="dxa"/>
            </w:tcMar>
          </w:tcPr>
          <w:p w:rsidR="00000000" w:rsidP="00DB3A1D">
            <w:pPr>
              <w:pStyle w:val="BodyText"/>
              <w:rPr>
                <w:lang w:val="en-NZ"/>
              </w:rPr>
            </w:pPr>
            <w:r w:rsidRPr="00DB3A1D">
              <w:t>Report public health and safety hazards and incidents.</w:t>
            </w:r>
          </w:p>
        </w:tc>
      </w:tr>
      <w:tr w:rsidTr="00DB3A1D">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DB3A1D">
            <w:pPr>
              <w:pStyle w:val="BodyText"/>
              <w:rPr>
                <w:lang w:val="en-NZ"/>
              </w:rPr>
            </w:pPr>
          </w:p>
        </w:tc>
      </w:tr>
      <w:tr w:rsidTr="00DB3A1D">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DB3A1D">
            <w:pPr>
              <w:pStyle w:val="BodyText"/>
              <w:rPr>
                <w:lang w:val="en-NZ"/>
              </w:rPr>
            </w:pPr>
            <w:r w:rsidRPr="00DB3A1D">
              <w:t>4</w:t>
            </w:r>
          </w:p>
        </w:tc>
        <w:tc>
          <w:tcPr>
            <w:tcW w:w="2357" w:type="dxa"/>
            <w:vMerge w:val="restart"/>
            <w:tcBorders>
              <w:top w:val="nil"/>
              <w:left w:val="nil"/>
              <w:bottom w:val="nil"/>
              <w:right w:val="nil"/>
            </w:tcBorders>
            <w:tcMar>
              <w:top w:w="0" w:type="dxa"/>
              <w:left w:w="62" w:type="dxa"/>
              <w:bottom w:w="0" w:type="dxa"/>
              <w:right w:w="62" w:type="dxa"/>
            </w:tcMar>
          </w:tcPr>
          <w:p w:rsidR="00000000" w:rsidP="00DB3A1D">
            <w:pPr>
              <w:pStyle w:val="BodyText"/>
              <w:rPr>
                <w:lang w:val="en-NZ"/>
              </w:rPr>
            </w:pPr>
            <w:r w:rsidRPr="00DB3A1D">
              <w:t>Apply environmental risk management strategies on demolition sites.</w:t>
            </w:r>
          </w:p>
        </w:tc>
        <w:tc>
          <w:tcPr>
            <w:tcW w:w="804" w:type="dxa"/>
            <w:tcBorders>
              <w:top w:val="nil"/>
              <w:left w:val="nil"/>
              <w:bottom w:val="nil"/>
              <w:right w:val="nil"/>
            </w:tcBorders>
            <w:tcMar>
              <w:top w:w="0" w:type="dxa"/>
              <w:left w:w="62" w:type="dxa"/>
              <w:bottom w:w="0" w:type="dxa"/>
              <w:right w:w="62" w:type="dxa"/>
            </w:tcMar>
          </w:tcPr>
          <w:p w:rsidR="00000000" w:rsidP="00DB3A1D">
            <w:pPr>
              <w:pStyle w:val="BodyText"/>
              <w:rPr>
                <w:lang w:val="en-NZ"/>
              </w:rPr>
            </w:pPr>
            <w:r w:rsidRPr="00DB3A1D">
              <w:t>4.1</w:t>
            </w:r>
          </w:p>
        </w:tc>
        <w:tc>
          <w:tcPr>
            <w:tcW w:w="5659" w:type="dxa"/>
            <w:tcBorders>
              <w:top w:val="nil"/>
              <w:left w:val="nil"/>
              <w:bottom w:val="nil"/>
              <w:right w:val="nil"/>
            </w:tcBorders>
            <w:tcMar>
              <w:top w:w="0" w:type="dxa"/>
              <w:left w:w="62" w:type="dxa"/>
              <w:bottom w:w="0" w:type="dxa"/>
              <w:right w:w="62" w:type="dxa"/>
            </w:tcMar>
          </w:tcPr>
          <w:p w:rsidR="00000000" w:rsidP="00DB3A1D">
            <w:pPr>
              <w:pStyle w:val="BodyText"/>
              <w:rPr>
                <w:lang w:val="en-NZ"/>
              </w:rPr>
            </w:pPr>
            <w:r w:rsidRPr="00DB3A1D">
              <w:t>Identify and apply environmental compliance, site and workplace requirements to work tasks.</w:t>
            </w:r>
          </w:p>
        </w:tc>
      </w:tr>
      <w:tr w:rsidTr="00DB3A1D">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DB3A1D">
            <w:pPr>
              <w:pStyle w:val="BodyText"/>
              <w:rPr>
                <w:lang w:val="en-NZ"/>
              </w:rPr>
            </w:pPr>
            <w:r w:rsidRPr="00DB3A1D">
              <w:t>4.2</w:t>
            </w:r>
          </w:p>
        </w:tc>
        <w:tc>
          <w:tcPr>
            <w:tcW w:w="5659" w:type="dxa"/>
            <w:tcBorders>
              <w:top w:val="nil"/>
              <w:left w:val="nil"/>
              <w:bottom w:val="nil"/>
              <w:right w:val="nil"/>
            </w:tcBorders>
            <w:tcMar>
              <w:top w:w="0" w:type="dxa"/>
              <w:left w:w="62" w:type="dxa"/>
              <w:bottom w:w="0" w:type="dxa"/>
              <w:right w:w="62" w:type="dxa"/>
            </w:tcMar>
          </w:tcPr>
          <w:p w:rsidR="00000000" w:rsidP="00DB3A1D">
            <w:pPr>
              <w:pStyle w:val="BodyText"/>
              <w:rPr>
                <w:lang w:val="en-NZ"/>
              </w:rPr>
            </w:pPr>
            <w:r w:rsidRPr="00DB3A1D">
              <w:t>Identify and apply strategies to maximise environmentally sound use of energy and water.</w:t>
            </w:r>
          </w:p>
        </w:tc>
      </w:tr>
      <w:tr w:rsidTr="00DB3A1D">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DB3A1D">
            <w:pPr>
              <w:pStyle w:val="BodyText"/>
              <w:rPr>
                <w:lang w:val="en-NZ"/>
              </w:rPr>
            </w:pPr>
            <w:r w:rsidRPr="00DB3A1D">
              <w:t>4.3</w:t>
            </w:r>
          </w:p>
        </w:tc>
        <w:tc>
          <w:tcPr>
            <w:tcW w:w="5659" w:type="dxa"/>
            <w:tcBorders>
              <w:top w:val="nil"/>
              <w:left w:val="nil"/>
              <w:bottom w:val="nil"/>
              <w:right w:val="nil"/>
            </w:tcBorders>
            <w:tcMar>
              <w:top w:w="0" w:type="dxa"/>
              <w:left w:w="62" w:type="dxa"/>
              <w:bottom w:w="0" w:type="dxa"/>
              <w:right w:w="62" w:type="dxa"/>
            </w:tcMar>
          </w:tcPr>
          <w:p w:rsidR="00000000" w:rsidP="00DB3A1D">
            <w:pPr>
              <w:pStyle w:val="BodyText"/>
              <w:rPr>
                <w:lang w:val="en-NZ"/>
              </w:rPr>
            </w:pPr>
            <w:r w:rsidRPr="00DB3A1D">
              <w:t>Identify potential risks to air quality resulting from demolition work and apply risk management strategies.</w:t>
            </w:r>
          </w:p>
        </w:tc>
      </w:tr>
      <w:tr w:rsidTr="00DB3A1D">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DB3A1D">
            <w:pPr>
              <w:pStyle w:val="BodyText"/>
              <w:rPr>
                <w:lang w:val="en-NZ"/>
              </w:rPr>
            </w:pPr>
            <w:r w:rsidRPr="00DB3A1D">
              <w:t>4.4</w:t>
            </w:r>
          </w:p>
        </w:tc>
        <w:tc>
          <w:tcPr>
            <w:tcW w:w="5659" w:type="dxa"/>
            <w:tcBorders>
              <w:top w:val="nil"/>
              <w:left w:val="nil"/>
              <w:bottom w:val="nil"/>
              <w:right w:val="nil"/>
            </w:tcBorders>
            <w:tcMar>
              <w:top w:w="0" w:type="dxa"/>
              <w:left w:w="62" w:type="dxa"/>
              <w:bottom w:w="0" w:type="dxa"/>
              <w:right w:w="62" w:type="dxa"/>
            </w:tcMar>
          </w:tcPr>
          <w:p w:rsidR="00000000" w:rsidP="00DB3A1D">
            <w:pPr>
              <w:pStyle w:val="BodyText"/>
              <w:rPr>
                <w:lang w:val="en-NZ"/>
              </w:rPr>
            </w:pPr>
            <w:r w:rsidRPr="00DB3A1D">
              <w:t>Identify potential risks associated with stormwater management and apply risk management strategies.</w:t>
            </w:r>
          </w:p>
        </w:tc>
      </w:tr>
      <w:tr w:rsidTr="00DB3A1D">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DB3A1D">
            <w:pPr>
              <w:pStyle w:val="BodyText"/>
              <w:rPr>
                <w:lang w:val="en-NZ"/>
              </w:rPr>
            </w:pPr>
            <w:r w:rsidRPr="00DB3A1D">
              <w:t>4.5</w:t>
            </w:r>
          </w:p>
        </w:tc>
        <w:tc>
          <w:tcPr>
            <w:tcW w:w="5659" w:type="dxa"/>
            <w:tcBorders>
              <w:top w:val="nil"/>
              <w:left w:val="nil"/>
              <w:bottom w:val="nil"/>
              <w:right w:val="nil"/>
            </w:tcBorders>
            <w:tcMar>
              <w:top w:w="0" w:type="dxa"/>
              <w:left w:w="62" w:type="dxa"/>
              <w:bottom w:w="0" w:type="dxa"/>
              <w:right w:w="62" w:type="dxa"/>
            </w:tcMar>
          </w:tcPr>
          <w:p w:rsidR="00000000" w:rsidP="00DB3A1D">
            <w:pPr>
              <w:pStyle w:val="BodyText"/>
              <w:rPr>
                <w:lang w:val="en-NZ"/>
              </w:rPr>
            </w:pPr>
            <w:r w:rsidRPr="00DB3A1D">
              <w:t>Identify potential risks to groundwater and groundwater monitoring wells and apply risk management strategies.</w:t>
            </w:r>
          </w:p>
        </w:tc>
      </w:tr>
      <w:tr w:rsidTr="00DB3A1D">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DB3A1D">
            <w:pPr>
              <w:pStyle w:val="BodyText"/>
              <w:rPr>
                <w:lang w:val="en-NZ"/>
              </w:rPr>
            </w:pPr>
            <w:r w:rsidRPr="00DB3A1D">
              <w:t>4.6</w:t>
            </w:r>
          </w:p>
        </w:tc>
        <w:tc>
          <w:tcPr>
            <w:tcW w:w="5659" w:type="dxa"/>
            <w:tcBorders>
              <w:top w:val="nil"/>
              <w:left w:val="nil"/>
              <w:bottom w:val="nil"/>
              <w:right w:val="nil"/>
            </w:tcBorders>
            <w:tcMar>
              <w:top w:w="0" w:type="dxa"/>
              <w:left w:w="62" w:type="dxa"/>
              <w:bottom w:w="0" w:type="dxa"/>
              <w:right w:w="62" w:type="dxa"/>
            </w:tcMar>
          </w:tcPr>
          <w:p w:rsidR="00000000" w:rsidP="00DB3A1D">
            <w:pPr>
              <w:pStyle w:val="BodyText"/>
              <w:rPr>
                <w:lang w:val="en-NZ"/>
              </w:rPr>
            </w:pPr>
            <w:r w:rsidRPr="00DB3A1D">
              <w:t>Identify potential risks to the environment resulting from removing and handling hazardous substances and waste materials and apply risk m</w:t>
            </w:r>
            <w:r w:rsidRPr="00DB3A1D">
              <w:t>anagement strategies.</w:t>
            </w:r>
          </w:p>
        </w:tc>
      </w:tr>
      <w:tr w:rsidTr="00DB3A1D">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DB3A1D">
            <w:pPr>
              <w:pStyle w:val="BodyText"/>
              <w:rPr>
                <w:lang w:val="en-NZ"/>
              </w:rPr>
            </w:pPr>
            <w:r w:rsidRPr="00DB3A1D">
              <w:t>4.7</w:t>
            </w:r>
          </w:p>
        </w:tc>
        <w:tc>
          <w:tcPr>
            <w:tcW w:w="5659" w:type="dxa"/>
            <w:tcBorders>
              <w:top w:val="nil"/>
              <w:left w:val="nil"/>
              <w:bottom w:val="nil"/>
              <w:right w:val="nil"/>
            </w:tcBorders>
            <w:tcMar>
              <w:top w:w="0" w:type="dxa"/>
              <w:left w:w="62" w:type="dxa"/>
              <w:bottom w:w="0" w:type="dxa"/>
              <w:right w:w="62" w:type="dxa"/>
            </w:tcMar>
          </w:tcPr>
          <w:p w:rsidR="00000000" w:rsidP="00DB3A1D">
            <w:pPr>
              <w:pStyle w:val="BodyText"/>
              <w:rPr>
                <w:lang w:val="en-NZ"/>
              </w:rPr>
            </w:pPr>
            <w:r w:rsidRPr="00DB3A1D">
              <w:t>Report environmental hazards and incidents.</w:t>
            </w:r>
          </w:p>
        </w:tc>
      </w:tr>
      <w:tr w:rsidTr="00DB3A1D">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DB3A1D">
            <w:pPr>
              <w:pStyle w:val="BodyText"/>
              <w:rPr>
                <w:lang w:val="en-NZ"/>
              </w:rPr>
            </w:pPr>
          </w:p>
        </w:tc>
      </w:tr>
      <w:tr w:rsidTr="00DB3A1D">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DB3A1D">
            <w:pPr>
              <w:pStyle w:val="BodyText"/>
              <w:rPr>
                <w:lang w:val="en-NZ"/>
              </w:rPr>
            </w:pPr>
            <w:r w:rsidRPr="00DB3A1D">
              <w:t>5</w:t>
            </w:r>
          </w:p>
        </w:tc>
        <w:tc>
          <w:tcPr>
            <w:tcW w:w="2357" w:type="dxa"/>
            <w:vMerge w:val="restart"/>
            <w:tcBorders>
              <w:top w:val="nil"/>
              <w:left w:val="nil"/>
              <w:bottom w:val="nil"/>
              <w:right w:val="nil"/>
            </w:tcBorders>
            <w:tcMar>
              <w:top w:w="0" w:type="dxa"/>
              <w:left w:w="62" w:type="dxa"/>
              <w:bottom w:w="0" w:type="dxa"/>
              <w:right w:w="62" w:type="dxa"/>
            </w:tcMar>
          </w:tcPr>
          <w:p w:rsidR="00000000" w:rsidP="00DB3A1D">
            <w:pPr>
              <w:pStyle w:val="BodyText"/>
              <w:rPr>
                <w:lang w:val="en-NZ"/>
              </w:rPr>
            </w:pPr>
            <w:r w:rsidRPr="00DB3A1D">
              <w:t>Contribute to improvement of demolition risk management strategies.</w:t>
            </w:r>
          </w:p>
        </w:tc>
        <w:tc>
          <w:tcPr>
            <w:tcW w:w="804" w:type="dxa"/>
            <w:tcBorders>
              <w:top w:val="nil"/>
              <w:left w:val="nil"/>
              <w:bottom w:val="nil"/>
              <w:right w:val="nil"/>
            </w:tcBorders>
            <w:tcMar>
              <w:top w:w="0" w:type="dxa"/>
              <w:left w:w="62" w:type="dxa"/>
              <w:bottom w:w="0" w:type="dxa"/>
              <w:right w:w="62" w:type="dxa"/>
            </w:tcMar>
          </w:tcPr>
          <w:p w:rsidR="00000000" w:rsidP="00DB3A1D">
            <w:pPr>
              <w:pStyle w:val="BodyText"/>
              <w:rPr>
                <w:lang w:val="en-NZ"/>
              </w:rPr>
            </w:pPr>
            <w:r w:rsidRPr="00DB3A1D">
              <w:t>5.1</w:t>
            </w:r>
          </w:p>
        </w:tc>
        <w:tc>
          <w:tcPr>
            <w:tcW w:w="5659" w:type="dxa"/>
            <w:tcBorders>
              <w:top w:val="nil"/>
              <w:left w:val="nil"/>
              <w:bottom w:val="nil"/>
              <w:right w:val="nil"/>
            </w:tcBorders>
            <w:tcMar>
              <w:top w:w="0" w:type="dxa"/>
              <w:left w:w="62" w:type="dxa"/>
              <w:bottom w:w="0" w:type="dxa"/>
              <w:right w:w="62" w:type="dxa"/>
            </w:tcMar>
          </w:tcPr>
          <w:p w:rsidR="00000000" w:rsidP="00DB3A1D">
            <w:pPr>
              <w:pStyle w:val="BodyText"/>
              <w:rPr>
                <w:lang w:val="en-NZ"/>
              </w:rPr>
            </w:pPr>
            <w:r w:rsidRPr="00DB3A1D">
              <w:t>Review demolition methods, procedures and risk management strategies and discuss with team members to develop ideas for improvements in risk management.</w:t>
            </w:r>
          </w:p>
        </w:tc>
      </w:tr>
      <w:tr w:rsidTr="00DB3A1D">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DB3A1D">
            <w:pPr>
              <w:pStyle w:val="BodyText"/>
              <w:rPr>
                <w:lang w:val="en-NZ"/>
              </w:rPr>
            </w:pPr>
            <w:r w:rsidRPr="00DB3A1D">
              <w:t>5.2</w:t>
            </w:r>
          </w:p>
        </w:tc>
        <w:tc>
          <w:tcPr>
            <w:tcW w:w="5659" w:type="dxa"/>
            <w:tcBorders>
              <w:top w:val="nil"/>
              <w:left w:val="nil"/>
              <w:bottom w:val="nil"/>
              <w:right w:val="nil"/>
            </w:tcBorders>
            <w:tcMar>
              <w:top w:w="0" w:type="dxa"/>
              <w:left w:w="62" w:type="dxa"/>
              <w:bottom w:w="0" w:type="dxa"/>
              <w:right w:w="62" w:type="dxa"/>
            </w:tcMar>
          </w:tcPr>
          <w:p w:rsidR="00000000" w:rsidRPr="00DB3A1D" w:rsidP="00DB3A1D">
            <w:pPr>
              <w:pStyle w:val="BodyText"/>
            </w:pPr>
            <w:r w:rsidRPr="00DB3A1D">
              <w:t>Undertake industry professional development activities relating to demolition risk management as</w:t>
            </w:r>
            <w:r w:rsidRPr="00DB3A1D">
              <w:t xml:space="preserve"> required.</w:t>
            </w:r>
          </w:p>
        </w:tc>
      </w:tr>
    </w:tbl>
    <w:p w:rsidR="00000000" w:rsidRPr="00DB3A1D" w:rsidP="00DB3A1D">
      <w:pPr>
        <w:pStyle w:val="BodyText"/>
      </w:pPr>
    </w:p>
    <w:p w:rsidR="00000000" w:rsidRPr="00DB3A1D" w:rsidP="00DB3A1D">
      <w:pPr>
        <w:pStyle w:val="AllowPageBreak"/>
      </w:pPr>
    </w:p>
    <w:p w:rsidR="00000000" w:rsidRPr="00DB3A1D" w:rsidP="00DB3A1D">
      <w:pPr>
        <w:pStyle w:val="Heading1"/>
      </w:pPr>
      <w:bookmarkStart w:id="6" w:name="O_1295053"/>
      <w:bookmarkEnd w:id="6"/>
      <w:r w:rsidRPr="00DB3A1D">
        <w:t>Foundation Skills</w:t>
      </w:r>
    </w:p>
    <w:p w:rsidR="00000000" w:rsidRPr="00DB3A1D" w:rsidP="00AC7D9B">
      <w:pPr>
        <w:pStyle w:val="BodyText"/>
      </w:pPr>
      <w:r w:rsidRPr="00DB3A1D">
        <w:t xml:space="preserve">Foundation skills essential to performance are explicit in the performance criteria of this unit of competency. </w:t>
      </w:r>
    </w:p>
    <w:p w:rsidR="00000000" w:rsidRPr="00DB3A1D" w:rsidP="00DB3A1D">
      <w:pPr>
        <w:pStyle w:val="Heading1"/>
      </w:pPr>
      <w:bookmarkStart w:id="7" w:name="O_1295052"/>
      <w:bookmarkEnd w:id="7"/>
      <w:r w:rsidRPr="00DB3A1D">
        <w:t>Unit Mapping Information</w:t>
      </w:r>
    </w:p>
    <w:p w:rsidR="00000000" w:rsidRPr="00DB3A1D" w:rsidP="00AC7D9B">
      <w:pPr>
        <w:pStyle w:val="BodyText"/>
      </w:pPr>
      <w:r w:rsidRPr="00DB3A1D">
        <w:t>Supersedes and is equivalent to CPCCDE3016A Identify hazards on demolition sites and apply risk management strategies.</w:t>
      </w:r>
    </w:p>
    <w:p w:rsidR="00000000" w:rsidRPr="00DB3A1D" w:rsidP="00DB3A1D">
      <w:pPr>
        <w:pStyle w:val="Heading1"/>
      </w:pPr>
      <w:bookmarkStart w:id="8" w:name="O_1295059"/>
      <w:bookmarkEnd w:id="8"/>
      <w:r w:rsidRPr="00DB3A1D">
        <w:t>Links</w:t>
      </w:r>
    </w:p>
    <w:p w:rsidR="00000000" w:rsidRPr="00DB3A1D" w:rsidP="00AC7D9B">
      <w:pPr>
        <w:pStyle w:val="BodyText"/>
      </w:pPr>
      <w:r w:rsidRPr="00DB3A1D">
        <w:t xml:space="preserve">Companion volumes to this training package are available at the VETNet website - </w:t>
      </w:r>
      <w:r>
        <w:fldChar w:fldCharType="begin"/>
      </w:r>
      <w:r>
        <w:instrText xml:space="preserve"> HYPERLINK "https://vetnet.gov.au/Pages/TrainingDocs.aspx?q=7e15fa6a-68b8-4097-b099-030a5569b1ad" </w:instrText>
      </w:r>
      <w:r>
        <w:fldChar w:fldCharType="separate"/>
      </w:r>
      <w:r w:rsidRPr="00CB0219">
        <w:rPr>
          <w:rStyle w:val="Hyperlink"/>
        </w:rPr>
        <w:t>https://vetnet.gov.au/Pages/TrainingDocs.aspx?q=7e15fa6a-68b8-4097-b099-030a5569b1ad</w:t>
      </w:r>
      <w:r>
        <w:fldChar w:fldCharType="end"/>
      </w:r>
    </w:p>
    <w:p w:rsidR="00000000" w:rsidRPr="00DB3A1D" w:rsidP="00DB3A1D"/>
    <w:sectPr w:rsidSect="00DB3A1D">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3A1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3A1D" w:rsidRPr="00AC7D9B" w:rsidP="00AC7D9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3A1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7D9B" w:rsidP="00DB3A1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AC7D9B" w:rsidP="00DB3A1D">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BuildSkills Australia</w:t>
    </w:r>
    <w:r>
      <w:fldChar w:fldCharType="end"/>
    </w:r>
  </w:p>
  <w:p w:rsidR="00AC7D9B" w:rsidP="00DB3A1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3A1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7D9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B3A1D" w:rsidRPr="00AC7D9B" w:rsidP="00AC7D9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3A1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7D9B" w:rsidRPr="002D2AF8" w:rsidP="00DB3A1D">
    <w:pPr>
      <w:pStyle w:val="Header"/>
      <w:framePr w:wrap="around"/>
    </w:pPr>
    <w:r>
      <w:fldChar w:fldCharType="begin"/>
    </w:r>
    <w:r>
      <w:instrText xml:space="preserve"> TITLE   \* MERGEFORMAT </w:instrText>
    </w:r>
    <w:r>
      <w:fldChar w:fldCharType="separate"/>
    </w:r>
    <w:r>
      <w:t>CPCCDE3016 Identify hazards on demolition sites and apply risk management strategies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24 December 2024</w:t>
    </w:r>
    <w:r>
      <w:fldChar w:fldCharType="end"/>
    </w:r>
  </w:p>
  <w:p w:rsidR="00AC7D9B" w:rsidP="00DB3A1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B3A1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B3A1D"/>
    <w:pPr>
      <w:spacing w:before="360" w:after="60"/>
      <w:outlineLvl w:val="0"/>
    </w:pPr>
    <w:rPr>
      <w:sz w:val="32"/>
    </w:rPr>
  </w:style>
  <w:style w:type="paragraph" w:styleId="Heading2">
    <w:name w:val="heading 2"/>
    <w:basedOn w:val="HeadingBase"/>
    <w:next w:val="BodyText"/>
    <w:link w:val="Heading2Char"/>
    <w:qFormat/>
    <w:rsid w:val="00DB3A1D"/>
    <w:pPr>
      <w:keepLines/>
      <w:spacing w:before="240" w:after="120"/>
      <w:outlineLvl w:val="1"/>
    </w:pPr>
    <w:rPr>
      <w:sz w:val="28"/>
      <w:szCs w:val="40"/>
    </w:rPr>
  </w:style>
  <w:style w:type="paragraph" w:styleId="Heading3">
    <w:name w:val="heading 3"/>
    <w:basedOn w:val="HeadingBase"/>
    <w:next w:val="BodyText"/>
    <w:link w:val="Heading3Char"/>
    <w:qFormat/>
    <w:rsid w:val="00DB3A1D"/>
    <w:pPr>
      <w:spacing w:before="180" w:after="120"/>
      <w:outlineLvl w:val="2"/>
    </w:pPr>
    <w:rPr>
      <w:spacing w:val="-10"/>
      <w:kern w:val="32"/>
    </w:rPr>
  </w:style>
  <w:style w:type="paragraph" w:styleId="Heading4">
    <w:name w:val="heading 4"/>
    <w:basedOn w:val="HeadingBase"/>
    <w:next w:val="BodyText"/>
    <w:link w:val="Heading4Char"/>
    <w:qFormat/>
    <w:rsid w:val="00DB3A1D"/>
    <w:pPr>
      <w:spacing w:before="160" w:after="120"/>
      <w:outlineLvl w:val="3"/>
    </w:pPr>
    <w:rPr>
      <w:sz w:val="22"/>
    </w:rPr>
  </w:style>
  <w:style w:type="paragraph" w:styleId="Heading5">
    <w:name w:val="heading 5"/>
    <w:basedOn w:val="HeadingBase"/>
    <w:next w:val="Normal"/>
    <w:link w:val="Heading5Char"/>
    <w:qFormat/>
    <w:rsid w:val="00DB3A1D"/>
    <w:pPr>
      <w:spacing w:before="80"/>
      <w:outlineLvl w:val="4"/>
    </w:pPr>
    <w:rPr>
      <w:color w:val="918585"/>
      <w:sz w:val="20"/>
    </w:rPr>
  </w:style>
  <w:style w:type="paragraph" w:styleId="Heading6">
    <w:name w:val="heading 6"/>
    <w:basedOn w:val="HeadingBase"/>
    <w:next w:val="Normal"/>
    <w:link w:val="Heading6Char"/>
    <w:qFormat/>
    <w:rsid w:val="00DB3A1D"/>
    <w:pPr>
      <w:spacing w:before="60"/>
      <w:outlineLvl w:val="5"/>
    </w:pPr>
    <w:rPr>
      <w:color w:val="918585"/>
      <w:sz w:val="20"/>
    </w:rPr>
  </w:style>
  <w:style w:type="paragraph" w:styleId="Heading7">
    <w:name w:val="heading 7"/>
    <w:basedOn w:val="Normal"/>
    <w:next w:val="Normal"/>
    <w:link w:val="Heading7Char"/>
    <w:qFormat/>
    <w:rsid w:val="00DB3A1D"/>
    <w:pPr>
      <w:ind w:left="720"/>
      <w:outlineLvl w:val="6"/>
    </w:pPr>
    <w:rPr>
      <w:i/>
    </w:rPr>
  </w:style>
  <w:style w:type="paragraph" w:styleId="Heading8">
    <w:name w:val="heading 8"/>
    <w:basedOn w:val="Normal"/>
    <w:next w:val="Normal"/>
    <w:link w:val="Heading8Char"/>
    <w:qFormat/>
    <w:rsid w:val="00DB3A1D"/>
    <w:pPr>
      <w:ind w:left="720"/>
      <w:outlineLvl w:val="7"/>
    </w:pPr>
    <w:rPr>
      <w:i/>
    </w:rPr>
  </w:style>
  <w:style w:type="paragraph" w:styleId="Heading9">
    <w:name w:val="heading 9"/>
    <w:basedOn w:val="Normal"/>
    <w:next w:val="Normal"/>
    <w:link w:val="Heading9Char"/>
    <w:qFormat/>
    <w:rsid w:val="00DB3A1D"/>
    <w:pPr>
      <w:ind w:left="720"/>
      <w:outlineLvl w:val="8"/>
    </w:pPr>
    <w:rPr>
      <w:i/>
    </w:rPr>
  </w:style>
  <w:style w:type="character" w:default="1" w:styleId="DefaultParagraphFont">
    <w:name w:val="Default Paragraph Font"/>
    <w:uiPriority w:val="1"/>
    <w:unhideWhenUsed/>
    <w:rsid w:val="00DB3A1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B3A1D"/>
  </w:style>
  <w:style w:type="character" w:customStyle="1" w:styleId="Heading1Char">
    <w:name w:val="Heading 1 Char"/>
    <w:basedOn w:val="DefaultParagraphFont"/>
    <w:link w:val="Heading1"/>
    <w:rsid w:val="00DB3A1D"/>
    <w:rPr>
      <w:rFonts w:ascii="Times New Roman" w:eastAsia="Times New Roman" w:hAnsi="Times New Roman" w:cs="Times New Roman"/>
      <w:b/>
      <w:sz w:val="32"/>
      <w:szCs w:val="20"/>
      <w:lang w:eastAsia="en-US"/>
    </w:rPr>
  </w:style>
  <w:style w:type="paragraph" w:styleId="BodyText">
    <w:name w:val="Body Text"/>
    <w:basedOn w:val="Normal"/>
    <w:link w:val="BodyTextChar"/>
    <w:rsid w:val="00DB3A1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B3A1D"/>
    <w:rPr>
      <w:rFonts w:ascii="Times New Roman" w:eastAsia="Times New Roman" w:hAnsi="Times New Roman" w:cs="Times New Roman"/>
      <w:sz w:val="24"/>
      <w:lang w:eastAsia="en-US"/>
    </w:rPr>
  </w:style>
  <w:style w:type="character" w:styleId="Emphasis">
    <w:name w:val="Emphasis"/>
    <w:basedOn w:val="DefaultParagraphFont"/>
    <w:qFormat/>
    <w:rsid w:val="00DB3A1D"/>
    <w:rPr>
      <w:i/>
    </w:rPr>
  </w:style>
  <w:style w:type="paragraph" w:customStyle="1" w:styleId="SuperHeading">
    <w:name w:val="SuperHeading"/>
    <w:basedOn w:val="Normal"/>
    <w:rsid w:val="00DB3A1D"/>
    <w:pPr>
      <w:spacing w:before="240" w:after="120"/>
      <w:outlineLvl w:val="0"/>
    </w:pPr>
    <w:rPr>
      <w:rFonts w:ascii="Times New Roman" w:hAnsi="Times New Roman"/>
      <w:b/>
      <w:sz w:val="32"/>
    </w:rPr>
  </w:style>
  <w:style w:type="paragraph" w:customStyle="1" w:styleId="AllowPageBreak">
    <w:name w:val="AllowPageBreak"/>
    <w:rsid w:val="00DB3A1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DB3A1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B3A1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B3A1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B3A1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B3A1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B3A1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B3A1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B3A1D"/>
    <w:rPr>
      <w:rFonts w:ascii="Courier New" w:eastAsia="Times New Roman" w:hAnsi="Courier New" w:cs="Times New Roman"/>
      <w:i/>
      <w:szCs w:val="20"/>
      <w:lang w:eastAsia="en-US"/>
    </w:rPr>
  </w:style>
  <w:style w:type="paragraph" w:customStyle="1" w:styleId="HeadingBase">
    <w:name w:val="Heading Base"/>
    <w:rsid w:val="00DB3A1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B3A1D"/>
    <w:pPr>
      <w:tabs>
        <w:tab w:val="right" w:leader="dot" w:pos="9072"/>
      </w:tabs>
      <w:ind w:left="567"/>
    </w:pPr>
    <w:rPr>
      <w:szCs w:val="22"/>
    </w:rPr>
  </w:style>
  <w:style w:type="paragraph" w:customStyle="1" w:styleId="TOCBase">
    <w:name w:val="TOC Base"/>
    <w:rsid w:val="00DB3A1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B3A1D"/>
    <w:pPr>
      <w:tabs>
        <w:tab w:val="right" w:leader="dot" w:pos="9072"/>
      </w:tabs>
      <w:spacing w:before="40" w:after="40"/>
      <w:ind w:left="284"/>
    </w:pPr>
    <w:rPr>
      <w:rFonts w:ascii="Times New Roman" w:hAnsi="Times New Roman"/>
    </w:rPr>
  </w:style>
  <w:style w:type="paragraph" w:styleId="TOC1">
    <w:name w:val="toc 1"/>
    <w:basedOn w:val="TOCBase"/>
    <w:next w:val="Normal"/>
    <w:rsid w:val="00DB3A1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B3A1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B3A1D"/>
    <w:rPr>
      <w:rFonts w:ascii="Times New Roman" w:eastAsia="Times New Roman" w:hAnsi="Times New Roman" w:cs="Times New Roman"/>
      <w:sz w:val="16"/>
      <w:lang w:eastAsia="en-US"/>
    </w:rPr>
  </w:style>
  <w:style w:type="paragraph" w:styleId="Title">
    <w:name w:val="Title"/>
    <w:basedOn w:val="HeadingBase"/>
    <w:link w:val="TitleChar"/>
    <w:qFormat/>
    <w:rsid w:val="00DB3A1D"/>
    <w:pPr>
      <w:spacing w:before="5040"/>
      <w:jc w:val="center"/>
    </w:pPr>
    <w:rPr>
      <w:sz w:val="48"/>
      <w:szCs w:val="72"/>
      <w:lang w:val="en-US"/>
    </w:rPr>
  </w:style>
  <w:style w:type="character" w:customStyle="1" w:styleId="TitleChar">
    <w:name w:val="Title Char"/>
    <w:basedOn w:val="DefaultParagraphFont"/>
    <w:link w:val="Title"/>
    <w:rsid w:val="00DB3A1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B3A1D"/>
    <w:pPr>
      <w:tabs>
        <w:tab w:val="left" w:pos="3600"/>
        <w:tab w:val="left" w:pos="3958"/>
      </w:tabs>
    </w:pPr>
  </w:style>
  <w:style w:type="paragraph" w:styleId="List">
    <w:name w:val="List"/>
    <w:basedOn w:val="BodyText"/>
    <w:next w:val="BodyText"/>
    <w:rsid w:val="00DB3A1D"/>
    <w:pPr>
      <w:tabs>
        <w:tab w:val="left" w:pos="340"/>
      </w:tabs>
      <w:spacing w:before="60" w:after="60"/>
      <w:ind w:left="340" w:hanging="340"/>
    </w:pPr>
  </w:style>
  <w:style w:type="paragraph" w:styleId="ListBullet">
    <w:name w:val="List Bullet"/>
    <w:basedOn w:val="List"/>
    <w:rsid w:val="00DB3A1D"/>
    <w:pPr>
      <w:numPr>
        <w:numId w:val="10"/>
      </w:numPr>
      <w:tabs>
        <w:tab w:val="clear" w:pos="340"/>
      </w:tabs>
      <w:spacing w:before="40" w:after="40"/>
    </w:pPr>
  </w:style>
  <w:style w:type="paragraph" w:customStyle="1" w:styleId="Note">
    <w:name w:val="Note"/>
    <w:basedOn w:val="BodyText"/>
    <w:rsid w:val="00DB3A1D"/>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DB3A1D"/>
    <w:rPr>
      <w:b/>
      <w:spacing w:val="0"/>
    </w:rPr>
  </w:style>
  <w:style w:type="paragraph" w:customStyle="1" w:styleId="SuperTitle">
    <w:name w:val="SuperTitle"/>
    <w:basedOn w:val="Title"/>
    <w:rsid w:val="00DB3A1D"/>
    <w:pPr>
      <w:framePr w:wrap="auto" w:hAnchor="text" w:y="6049"/>
    </w:pPr>
    <w:rPr>
      <w:color w:val="000000"/>
      <w:sz w:val="40"/>
    </w:rPr>
  </w:style>
  <w:style w:type="paragraph" w:customStyle="1" w:styleId="TOCTitle">
    <w:name w:val="TOCTitle"/>
    <w:basedOn w:val="Heading1"/>
    <w:rsid w:val="00DB3A1D"/>
    <w:pPr>
      <w:spacing w:after="240"/>
      <w:jc w:val="center"/>
      <w:outlineLvl w:val="9"/>
    </w:pPr>
    <w:rPr>
      <w:caps/>
    </w:rPr>
  </w:style>
  <w:style w:type="paragraph" w:customStyle="1" w:styleId="Version">
    <w:name w:val="Version"/>
    <w:rsid w:val="00DB3A1D"/>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DB3A1D"/>
    <w:pPr>
      <w:numPr>
        <w:numId w:val="11"/>
      </w:numPr>
      <w:tabs>
        <w:tab w:val="clear" w:pos="680"/>
      </w:tabs>
    </w:pPr>
  </w:style>
  <w:style w:type="paragraph" w:styleId="Index1">
    <w:name w:val="index 1"/>
    <w:basedOn w:val="Normal"/>
    <w:next w:val="Normal"/>
    <w:semiHidden/>
    <w:rsid w:val="00DB3A1D"/>
    <w:pPr>
      <w:keepNext w:val="0"/>
      <w:tabs>
        <w:tab w:val="right" w:pos="4176"/>
      </w:tabs>
      <w:ind w:left="198" w:hanging="198"/>
    </w:pPr>
    <w:rPr>
      <w:rFonts w:ascii="Garamond" w:hAnsi="Garamond"/>
    </w:rPr>
  </w:style>
  <w:style w:type="paragraph" w:styleId="IndexHeading">
    <w:name w:val="index heading"/>
    <w:basedOn w:val="Normal"/>
    <w:next w:val="Index1"/>
    <w:semiHidden/>
    <w:rsid w:val="00DB3A1D"/>
    <w:pPr>
      <w:spacing w:before="120" w:after="120"/>
    </w:pPr>
    <w:rPr>
      <w:rFonts w:ascii="Arial" w:hAnsi="Arial"/>
      <w:b/>
      <w:color w:val="918585"/>
      <w:sz w:val="24"/>
    </w:rPr>
  </w:style>
  <w:style w:type="paragraph" w:styleId="Header">
    <w:name w:val="header"/>
    <w:basedOn w:val="Normal"/>
    <w:link w:val="HeaderChar"/>
    <w:rsid w:val="00DB3A1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B3A1D"/>
    <w:rPr>
      <w:rFonts w:ascii="Times New Roman" w:eastAsia="Times New Roman" w:hAnsi="Times New Roman" w:cs="Times New Roman"/>
      <w:sz w:val="16"/>
      <w:szCs w:val="20"/>
      <w:lang w:val="en-GB" w:eastAsia="en-US"/>
    </w:rPr>
  </w:style>
  <w:style w:type="paragraph" w:customStyle="1" w:styleId="Chapter">
    <w:name w:val="Chapter"/>
    <w:basedOn w:val="Normal"/>
    <w:rsid w:val="00DB3A1D"/>
    <w:pPr>
      <w:spacing w:before="240"/>
    </w:pPr>
    <w:rPr>
      <w:rFonts w:ascii="Times New Roman" w:hAnsi="Times New Roman"/>
      <w:smallCaps/>
      <w:spacing w:val="80"/>
      <w:sz w:val="28"/>
    </w:rPr>
  </w:style>
  <w:style w:type="paragraph" w:customStyle="1" w:styleId="InChapter">
    <w:name w:val="InChapter"/>
    <w:basedOn w:val="Heading3"/>
    <w:rsid w:val="00DB3A1D"/>
    <w:pPr>
      <w:spacing w:after="240"/>
      <w:outlineLvl w:val="9"/>
    </w:pPr>
    <w:rPr>
      <w:noProof/>
    </w:rPr>
  </w:style>
  <w:style w:type="paragraph" w:styleId="Index2">
    <w:name w:val="index 2"/>
    <w:basedOn w:val="Normal"/>
    <w:next w:val="Normal"/>
    <w:semiHidden/>
    <w:rsid w:val="00DB3A1D"/>
    <w:pPr>
      <w:tabs>
        <w:tab w:val="right" w:pos="4176"/>
      </w:tabs>
      <w:ind w:left="568" w:hanging="284"/>
    </w:pPr>
    <w:rPr>
      <w:rFonts w:ascii="Garamond" w:hAnsi="Garamond"/>
    </w:rPr>
  </w:style>
  <w:style w:type="paragraph" w:customStyle="1" w:styleId="Byline">
    <w:name w:val="Byline"/>
    <w:rsid w:val="00DB3A1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B3A1D"/>
    <w:pPr>
      <w:tabs>
        <w:tab w:val="clear" w:pos="3600"/>
        <w:tab w:val="clear" w:pos="3958"/>
      </w:tabs>
      <w:jc w:val="right"/>
    </w:pPr>
  </w:style>
  <w:style w:type="paragraph" w:styleId="Caption">
    <w:name w:val="caption"/>
    <w:basedOn w:val="BodyText"/>
    <w:next w:val="Normal"/>
    <w:qFormat/>
    <w:rsid w:val="00DB3A1D"/>
    <w:pPr>
      <w:framePr w:w="2268" w:hSpace="181" w:vSpace="181" w:wrap="around" w:vAnchor="text" w:hAnchor="page" w:x="1135" w:y="285" w:anchorLock="1"/>
    </w:pPr>
    <w:rPr>
      <w:i/>
    </w:rPr>
  </w:style>
  <w:style w:type="paragraph" w:customStyle="1" w:styleId="MiniTOCTitle">
    <w:name w:val="MiniTOCTitle"/>
    <w:basedOn w:val="Heading4"/>
    <w:rsid w:val="00DB3A1D"/>
    <w:pPr>
      <w:spacing w:before="240"/>
      <w:outlineLvl w:val="9"/>
    </w:pPr>
    <w:rPr>
      <w:noProof/>
      <w:sz w:val="24"/>
    </w:rPr>
  </w:style>
  <w:style w:type="paragraph" w:customStyle="1" w:styleId="MiniTOCItem">
    <w:name w:val="MiniTOCItem"/>
    <w:basedOn w:val="ListBullet"/>
    <w:rsid w:val="00DB3A1D"/>
    <w:pPr>
      <w:numPr>
        <w:numId w:val="0"/>
      </w:numPr>
      <w:tabs>
        <w:tab w:val="right" w:leader="dot" w:pos="6521"/>
      </w:tabs>
      <w:spacing w:before="0" w:after="0"/>
    </w:pPr>
  </w:style>
  <w:style w:type="paragraph" w:customStyle="1" w:styleId="TOFTitle">
    <w:name w:val="TOFTitle"/>
    <w:basedOn w:val="TOCTitle"/>
    <w:rsid w:val="00DB3A1D"/>
  </w:style>
  <w:style w:type="paragraph" w:styleId="TableofFigures">
    <w:name w:val="table of figures"/>
    <w:basedOn w:val="Normal"/>
    <w:next w:val="Normal"/>
    <w:semiHidden/>
    <w:rsid w:val="00DB3A1D"/>
    <w:pPr>
      <w:tabs>
        <w:tab w:val="right" w:leader="dot" w:pos="9072"/>
      </w:tabs>
      <w:ind w:left="970" w:hanging="403"/>
    </w:pPr>
    <w:rPr>
      <w:rFonts w:ascii="Times New Roman" w:hAnsi="Times New Roman"/>
      <w:b/>
    </w:rPr>
  </w:style>
  <w:style w:type="paragraph" w:styleId="ListNumber">
    <w:name w:val="List Number"/>
    <w:basedOn w:val="List"/>
    <w:rsid w:val="00DB3A1D"/>
    <w:pPr>
      <w:numPr>
        <w:numId w:val="13"/>
      </w:numPr>
      <w:tabs>
        <w:tab w:val="clear" w:pos="340"/>
      </w:tabs>
    </w:pPr>
  </w:style>
  <w:style w:type="character" w:customStyle="1" w:styleId="WingdingSymbols">
    <w:name w:val="Wingding Symbols"/>
    <w:rsid w:val="00DB3A1D"/>
    <w:rPr>
      <w:rFonts w:ascii="Wingdings" w:hAnsi="Wingdings"/>
    </w:rPr>
  </w:style>
  <w:style w:type="paragraph" w:customStyle="1" w:styleId="TableHeading">
    <w:name w:val="Table Heading"/>
    <w:basedOn w:val="HeadingBase"/>
    <w:rsid w:val="00DB3A1D"/>
    <w:pPr>
      <w:keepLines/>
      <w:pBdr>
        <w:bottom w:val="single" w:sz="6" w:space="1" w:color="918585"/>
      </w:pBdr>
      <w:spacing w:before="240"/>
    </w:pPr>
  </w:style>
  <w:style w:type="character" w:customStyle="1" w:styleId="HotSpot">
    <w:name w:val="HotSpot"/>
    <w:rsid w:val="00DB3A1D"/>
    <w:rPr>
      <w:color w:val="0033CC"/>
      <w:u w:val="none"/>
    </w:rPr>
  </w:style>
  <w:style w:type="paragraph" w:customStyle="1" w:styleId="BodyTextRight">
    <w:name w:val="Body Text Right"/>
    <w:basedOn w:val="BodyText"/>
    <w:rsid w:val="00DB3A1D"/>
    <w:pPr>
      <w:spacing w:before="0" w:after="0"/>
      <w:jc w:val="right"/>
    </w:pPr>
  </w:style>
  <w:style w:type="paragraph" w:styleId="Index3">
    <w:name w:val="index 3"/>
    <w:basedOn w:val="ListNumber2"/>
    <w:next w:val="Normal"/>
    <w:semiHidden/>
    <w:rsid w:val="00DB3A1D"/>
    <w:pPr>
      <w:numPr>
        <w:numId w:val="0"/>
      </w:numPr>
      <w:tabs>
        <w:tab w:val="right" w:leader="dot" w:pos="4176"/>
      </w:tabs>
    </w:pPr>
  </w:style>
  <w:style w:type="paragraph" w:styleId="ListNumber2">
    <w:name w:val="List Number 2"/>
    <w:basedOn w:val="List2"/>
    <w:rsid w:val="00DB3A1D"/>
    <w:pPr>
      <w:numPr>
        <w:numId w:val="8"/>
      </w:numPr>
      <w:tabs>
        <w:tab w:val="clear" w:pos="1060"/>
      </w:tabs>
    </w:pPr>
  </w:style>
  <w:style w:type="paragraph" w:customStyle="1" w:styleId="MarginNote">
    <w:name w:val="Margin Note"/>
    <w:basedOn w:val="BodyText"/>
    <w:rsid w:val="00DB3A1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B3A1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B3A1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B3A1D"/>
    <w:rPr>
      <w:sz w:val="32"/>
    </w:rPr>
  </w:style>
  <w:style w:type="paragraph" w:customStyle="1" w:styleId="HeadingProcedure">
    <w:name w:val="Heading Procedure"/>
    <w:basedOn w:val="HeadingBase"/>
    <w:next w:val="Normal"/>
    <w:rsid w:val="00DB3A1D"/>
    <w:pPr>
      <w:tabs>
        <w:tab w:val="left" w:pos="0"/>
      </w:tabs>
      <w:spacing w:before="120" w:after="60"/>
    </w:pPr>
    <w:rPr>
      <w:i/>
      <w:color w:val="918585"/>
      <w:sz w:val="22"/>
    </w:rPr>
  </w:style>
  <w:style w:type="paragraph" w:customStyle="1" w:styleId="TableBodyText">
    <w:name w:val="Table Body Text"/>
    <w:basedOn w:val="BodyText"/>
    <w:rsid w:val="00DB3A1D"/>
    <w:pPr>
      <w:spacing w:before="60" w:after="60"/>
    </w:pPr>
  </w:style>
  <w:style w:type="paragraph" w:styleId="ListContinue">
    <w:name w:val="List Continue"/>
    <w:basedOn w:val="List"/>
    <w:rsid w:val="00DB3A1D"/>
    <w:pPr>
      <w:ind w:firstLine="0"/>
    </w:pPr>
  </w:style>
  <w:style w:type="paragraph" w:customStyle="1" w:styleId="ListNote">
    <w:name w:val="List Note"/>
    <w:basedOn w:val="List"/>
    <w:rsid w:val="00DB3A1D"/>
    <w:pPr>
      <w:pBdr>
        <w:top w:val="single" w:sz="6" w:space="2" w:color="918585"/>
        <w:bottom w:val="single" w:sz="6" w:space="2" w:color="918585"/>
      </w:pBdr>
      <w:tabs>
        <w:tab w:val="left" w:pos="1021"/>
      </w:tabs>
      <w:ind w:firstLine="0"/>
    </w:pPr>
  </w:style>
  <w:style w:type="paragraph" w:customStyle="1" w:styleId="Warning">
    <w:name w:val="Warning"/>
    <w:basedOn w:val="BodyText"/>
    <w:rsid w:val="00DB3A1D"/>
    <w:pPr>
      <w:shd w:val="clear" w:color="auto" w:fill="D9D9D9"/>
      <w:tabs>
        <w:tab w:val="left" w:pos="992"/>
      </w:tabs>
      <w:ind w:left="119" w:right="119"/>
    </w:pPr>
    <w:rPr>
      <w:sz w:val="20"/>
    </w:rPr>
  </w:style>
  <w:style w:type="paragraph" w:customStyle="1" w:styleId="MarginIcons">
    <w:name w:val="Margin Icons"/>
    <w:basedOn w:val="BodyText"/>
    <w:rsid w:val="00DB3A1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B3A1D"/>
    <w:rPr>
      <w:rFonts w:ascii="Courier New" w:hAnsi="Courier New"/>
    </w:rPr>
  </w:style>
  <w:style w:type="paragraph" w:customStyle="1" w:styleId="NoteBullet">
    <w:name w:val="Note Bullet"/>
    <w:basedOn w:val="Note"/>
    <w:rsid w:val="00DB3A1D"/>
    <w:pPr>
      <w:tabs>
        <w:tab w:val="clear" w:pos="680"/>
      </w:tabs>
      <w:spacing w:before="60" w:after="60"/>
    </w:pPr>
  </w:style>
  <w:style w:type="paragraph" w:customStyle="1" w:styleId="SubHeading2">
    <w:name w:val="SubHeading2"/>
    <w:basedOn w:val="HeadingBase"/>
    <w:rsid w:val="00DB3A1D"/>
    <w:pPr>
      <w:spacing w:before="240" w:after="60"/>
    </w:pPr>
    <w:rPr>
      <w:sz w:val="20"/>
    </w:rPr>
  </w:style>
  <w:style w:type="paragraph" w:customStyle="1" w:styleId="SubHeading1">
    <w:name w:val="SubHeading1"/>
    <w:basedOn w:val="HeadingBase"/>
    <w:rsid w:val="00DB3A1D"/>
    <w:pPr>
      <w:spacing w:before="240" w:after="60"/>
    </w:pPr>
    <w:rPr>
      <w:color w:val="918585"/>
      <w:sz w:val="22"/>
    </w:rPr>
  </w:style>
  <w:style w:type="paragraph" w:customStyle="1" w:styleId="SideHeading">
    <w:name w:val="Side Heading"/>
    <w:basedOn w:val="HeadingBase"/>
    <w:rsid w:val="00DB3A1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B3A1D"/>
    <w:pPr>
      <w:numPr>
        <w:numId w:val="9"/>
      </w:numPr>
    </w:pPr>
  </w:style>
  <w:style w:type="paragraph" w:styleId="PlainText">
    <w:name w:val="Plain Text"/>
    <w:basedOn w:val="Normal"/>
    <w:link w:val="PlainTextChar"/>
    <w:rsid w:val="00DB3A1D"/>
    <w:rPr>
      <w:sz w:val="20"/>
    </w:rPr>
  </w:style>
  <w:style w:type="character" w:customStyle="1" w:styleId="PlainTextChar">
    <w:name w:val="Plain Text Char"/>
    <w:basedOn w:val="DefaultParagraphFont"/>
    <w:link w:val="PlainText"/>
    <w:rsid w:val="00DB3A1D"/>
    <w:rPr>
      <w:rFonts w:ascii="Courier New" w:eastAsia="Times New Roman" w:hAnsi="Courier New" w:cs="Times New Roman"/>
      <w:sz w:val="20"/>
      <w:szCs w:val="20"/>
      <w:lang w:eastAsia="en-US"/>
    </w:rPr>
  </w:style>
  <w:style w:type="character" w:customStyle="1" w:styleId="MenuOption">
    <w:name w:val="Menu Option"/>
    <w:basedOn w:val="DefaultParagraphFont"/>
    <w:rsid w:val="00DB3A1D"/>
    <w:rPr>
      <w:b/>
      <w:smallCaps/>
    </w:rPr>
  </w:style>
  <w:style w:type="paragraph" w:customStyle="1" w:styleId="TableListNumber">
    <w:name w:val="Table List Number"/>
    <w:basedOn w:val="ListNumber"/>
    <w:rsid w:val="00DB3A1D"/>
    <w:pPr>
      <w:numPr>
        <w:numId w:val="0"/>
      </w:numPr>
    </w:pPr>
  </w:style>
  <w:style w:type="paragraph" w:styleId="TOC4">
    <w:name w:val="toc 4"/>
    <w:basedOn w:val="TOCBase"/>
    <w:next w:val="Normal"/>
    <w:semiHidden/>
    <w:rsid w:val="00DB3A1D"/>
    <w:pPr>
      <w:tabs>
        <w:tab w:val="right" w:leader="dot" w:pos="9071"/>
      </w:tabs>
      <w:ind w:left="1701"/>
    </w:pPr>
  </w:style>
  <w:style w:type="paragraph" w:customStyle="1" w:styleId="ListAlpha">
    <w:name w:val="List Alpha"/>
    <w:basedOn w:val="List"/>
    <w:rsid w:val="00DB3A1D"/>
    <w:pPr>
      <w:numPr>
        <w:numId w:val="7"/>
      </w:numPr>
    </w:pPr>
  </w:style>
  <w:style w:type="paragraph" w:customStyle="1" w:styleId="ListAlpha2">
    <w:name w:val="List Alpha 2"/>
    <w:basedOn w:val="List2"/>
    <w:rsid w:val="00DB3A1D"/>
    <w:pPr>
      <w:numPr>
        <w:numId w:val="6"/>
      </w:numPr>
    </w:pPr>
  </w:style>
  <w:style w:type="paragraph" w:styleId="List2">
    <w:name w:val="List 2"/>
    <w:basedOn w:val="BodyText"/>
    <w:rsid w:val="00DB3A1D"/>
    <w:pPr>
      <w:tabs>
        <w:tab w:val="left" w:pos="680"/>
      </w:tabs>
      <w:spacing w:before="60" w:after="60"/>
      <w:ind w:left="680" w:hanging="340"/>
    </w:pPr>
  </w:style>
  <w:style w:type="paragraph" w:styleId="List3">
    <w:name w:val="List 3"/>
    <w:basedOn w:val="BodyText"/>
    <w:rsid w:val="00DB3A1D"/>
    <w:pPr>
      <w:tabs>
        <w:tab w:val="left" w:pos="1021"/>
      </w:tabs>
      <w:spacing w:before="60" w:after="60"/>
      <w:ind w:left="1020" w:hanging="340"/>
    </w:pPr>
  </w:style>
  <w:style w:type="paragraph" w:styleId="List4">
    <w:name w:val="List 4"/>
    <w:basedOn w:val="BodyText"/>
    <w:rsid w:val="00DB3A1D"/>
    <w:pPr>
      <w:tabs>
        <w:tab w:val="left" w:pos="1361"/>
      </w:tabs>
      <w:spacing w:before="60" w:after="60"/>
      <w:ind w:left="1361" w:hanging="340"/>
    </w:pPr>
  </w:style>
  <w:style w:type="paragraph" w:styleId="List5">
    <w:name w:val="List 5"/>
    <w:basedOn w:val="BodyText"/>
    <w:rsid w:val="00DB3A1D"/>
    <w:pPr>
      <w:tabs>
        <w:tab w:val="left" w:pos="1701"/>
      </w:tabs>
      <w:spacing w:before="60" w:after="60"/>
      <w:ind w:left="1701" w:hanging="340"/>
    </w:pPr>
  </w:style>
  <w:style w:type="paragraph" w:styleId="ListBullet3">
    <w:name w:val="List Bullet 3"/>
    <w:basedOn w:val="List3"/>
    <w:rsid w:val="00DB3A1D"/>
    <w:pPr>
      <w:numPr>
        <w:numId w:val="12"/>
      </w:numPr>
      <w:tabs>
        <w:tab w:val="clear" w:pos="1021"/>
      </w:tabs>
      <w:ind w:left="1037" w:hanging="357"/>
    </w:pPr>
  </w:style>
  <w:style w:type="paragraph" w:styleId="ListBullet4">
    <w:name w:val="List Bullet 4"/>
    <w:basedOn w:val="List4"/>
    <w:rsid w:val="00DB3A1D"/>
    <w:pPr>
      <w:numPr>
        <w:numId w:val="1"/>
      </w:numPr>
      <w:tabs>
        <w:tab w:val="clear" w:pos="1361"/>
      </w:tabs>
    </w:pPr>
  </w:style>
  <w:style w:type="paragraph" w:styleId="ListBullet5">
    <w:name w:val="List Bullet 5"/>
    <w:basedOn w:val="List5"/>
    <w:rsid w:val="00DB3A1D"/>
    <w:pPr>
      <w:numPr>
        <w:numId w:val="2"/>
      </w:numPr>
    </w:pPr>
  </w:style>
  <w:style w:type="paragraph" w:styleId="ListContinue2">
    <w:name w:val="List Continue 2"/>
    <w:basedOn w:val="List2"/>
    <w:rsid w:val="00DB3A1D"/>
    <w:pPr>
      <w:ind w:firstLine="0"/>
    </w:pPr>
  </w:style>
  <w:style w:type="paragraph" w:styleId="ListContinue3">
    <w:name w:val="List Continue 3"/>
    <w:basedOn w:val="List3"/>
    <w:rsid w:val="00DB3A1D"/>
    <w:pPr>
      <w:ind w:left="1021" w:firstLine="0"/>
    </w:pPr>
  </w:style>
  <w:style w:type="paragraph" w:styleId="ListContinue4">
    <w:name w:val="List Continue 4"/>
    <w:basedOn w:val="List4"/>
    <w:rsid w:val="00DB3A1D"/>
    <w:pPr>
      <w:ind w:firstLine="0"/>
    </w:pPr>
  </w:style>
  <w:style w:type="paragraph" w:styleId="ListContinue5">
    <w:name w:val="List Continue 5"/>
    <w:basedOn w:val="List5"/>
    <w:rsid w:val="00DB3A1D"/>
    <w:pPr>
      <w:ind w:firstLine="0"/>
    </w:pPr>
  </w:style>
  <w:style w:type="paragraph" w:styleId="ListNumber3">
    <w:name w:val="List Number 3"/>
    <w:basedOn w:val="List3"/>
    <w:rsid w:val="00DB3A1D"/>
    <w:pPr>
      <w:numPr>
        <w:numId w:val="3"/>
      </w:numPr>
    </w:pPr>
  </w:style>
  <w:style w:type="paragraph" w:styleId="ListNumber4">
    <w:name w:val="List Number 4"/>
    <w:basedOn w:val="List4"/>
    <w:rsid w:val="00DB3A1D"/>
    <w:pPr>
      <w:numPr>
        <w:numId w:val="4"/>
      </w:numPr>
    </w:pPr>
  </w:style>
  <w:style w:type="paragraph" w:styleId="ListNumber5">
    <w:name w:val="List Number 5"/>
    <w:basedOn w:val="List5"/>
    <w:rsid w:val="00DB3A1D"/>
    <w:pPr>
      <w:numPr>
        <w:numId w:val="5"/>
      </w:numPr>
    </w:pPr>
  </w:style>
  <w:style w:type="paragraph" w:styleId="BlockText">
    <w:name w:val="Block Text"/>
    <w:basedOn w:val="Normal"/>
    <w:rsid w:val="00DB3A1D"/>
    <w:pPr>
      <w:spacing w:after="120"/>
      <w:ind w:left="1440" w:right="1440"/>
    </w:pPr>
  </w:style>
  <w:style w:type="character" w:customStyle="1" w:styleId="Subscript">
    <w:name w:val="Subscript"/>
    <w:basedOn w:val="DefaultParagraphFont"/>
    <w:rsid w:val="00DB3A1D"/>
    <w:rPr>
      <w:sz w:val="16"/>
      <w:vertAlign w:val="subscript"/>
    </w:rPr>
  </w:style>
  <w:style w:type="character" w:customStyle="1" w:styleId="Superscript">
    <w:name w:val="Superscript"/>
    <w:basedOn w:val="DefaultParagraphFont"/>
    <w:rsid w:val="00DB3A1D"/>
    <w:rPr>
      <w:sz w:val="16"/>
      <w:vertAlign w:val="superscript"/>
    </w:rPr>
  </w:style>
  <w:style w:type="character" w:customStyle="1" w:styleId="Symbols">
    <w:name w:val="Symbols"/>
    <w:basedOn w:val="DefaultParagraphFont"/>
    <w:rsid w:val="00DB3A1D"/>
    <w:rPr>
      <w:rFonts w:ascii="Symbol" w:hAnsi="Symbol"/>
    </w:rPr>
  </w:style>
  <w:style w:type="character" w:customStyle="1" w:styleId="MenuOptions">
    <w:name w:val="Menu Options"/>
    <w:basedOn w:val="DefaultParagraphFont"/>
    <w:rsid w:val="00DB3A1D"/>
    <w:rPr>
      <w:rFonts w:ascii="Arial Narrow" w:hAnsi="Arial Narrow"/>
      <w:smallCaps/>
    </w:rPr>
  </w:style>
  <w:style w:type="character" w:customStyle="1" w:styleId="Buttons">
    <w:name w:val="Buttons"/>
    <w:basedOn w:val="DefaultParagraphFont"/>
    <w:rsid w:val="00DB3A1D"/>
    <w:rPr>
      <w:b/>
    </w:rPr>
  </w:style>
  <w:style w:type="character" w:customStyle="1" w:styleId="Underlined">
    <w:name w:val="Underlined"/>
    <w:basedOn w:val="DefaultParagraphFont"/>
    <w:rsid w:val="00DB3A1D"/>
    <w:rPr>
      <w:u w:val="single"/>
    </w:rPr>
  </w:style>
  <w:style w:type="paragraph" w:customStyle="1" w:styleId="TableBodyTextRight">
    <w:name w:val="Table Body Text Right"/>
    <w:basedOn w:val="TableBodyText"/>
    <w:rsid w:val="00DB3A1D"/>
    <w:pPr>
      <w:widowControl w:val="0"/>
      <w:autoSpaceDE w:val="0"/>
      <w:autoSpaceDN w:val="0"/>
      <w:adjustRightInd w:val="0"/>
      <w:jc w:val="right"/>
    </w:pPr>
    <w:rPr>
      <w:rFonts w:cs="Arial"/>
      <w:szCs w:val="18"/>
    </w:rPr>
  </w:style>
  <w:style w:type="paragraph" w:customStyle="1" w:styleId="CopyrightText">
    <w:name w:val="Copyright Text"/>
    <w:basedOn w:val="BodyText"/>
    <w:rsid w:val="00DB3A1D"/>
    <w:rPr>
      <w:sz w:val="18"/>
    </w:rPr>
  </w:style>
  <w:style w:type="paragraph" w:customStyle="1" w:styleId="BodySmallRight">
    <w:name w:val="Body Small Right"/>
    <w:basedOn w:val="BodyTextRight"/>
    <w:rsid w:val="00DB3A1D"/>
    <w:rPr>
      <w:sz w:val="18"/>
      <w:szCs w:val="18"/>
    </w:rPr>
  </w:style>
  <w:style w:type="paragraph" w:customStyle="1" w:styleId="MarginEdition">
    <w:name w:val="Margin Edition"/>
    <w:basedOn w:val="MarginNote"/>
    <w:rsid w:val="00DB3A1D"/>
    <w:pPr>
      <w:spacing w:before="0" w:after="0"/>
    </w:pPr>
    <w:rPr>
      <w:rFonts w:ascii="Times New Roman" w:hAnsi="Times New Roman"/>
      <w:color w:val="999999"/>
    </w:rPr>
  </w:style>
  <w:style w:type="paragraph" w:customStyle="1" w:styleId="Spacer">
    <w:name w:val="Spacer"/>
    <w:basedOn w:val="Normal"/>
    <w:rsid w:val="00DB3A1D"/>
    <w:rPr>
      <w:sz w:val="2"/>
      <w:szCs w:val="2"/>
    </w:rPr>
  </w:style>
  <w:style w:type="character" w:customStyle="1" w:styleId="Small">
    <w:name w:val="Small"/>
    <w:basedOn w:val="DefaultParagraphFont"/>
    <w:rsid w:val="00DB3A1D"/>
    <w:rPr>
      <w:sz w:val="16"/>
    </w:rPr>
  </w:style>
  <w:style w:type="paragraph" w:customStyle="1" w:styleId="WideTable">
    <w:name w:val="Wide Table"/>
    <w:basedOn w:val="Normal"/>
    <w:rsid w:val="00DB3A1D"/>
    <w:pPr>
      <w:ind w:left="-1418"/>
    </w:pPr>
    <w:rPr>
      <w:sz w:val="2"/>
      <w:szCs w:val="2"/>
    </w:rPr>
  </w:style>
  <w:style w:type="character" w:styleId="PageNumber">
    <w:name w:val="page number"/>
    <w:basedOn w:val="DefaultParagraphFont"/>
    <w:rsid w:val="00DB3A1D"/>
  </w:style>
  <w:style w:type="paragraph" w:styleId="Quote">
    <w:name w:val="Quote"/>
    <w:basedOn w:val="Heading1"/>
    <w:link w:val="QuoteChar"/>
    <w:qFormat/>
    <w:rsid w:val="00DB3A1D"/>
    <w:rPr>
      <w:b w:val="0"/>
      <w:sz w:val="72"/>
      <w:szCs w:val="72"/>
      <w:lang w:val="en-NZ"/>
    </w:rPr>
  </w:style>
  <w:style w:type="character" w:customStyle="1" w:styleId="QuoteChar">
    <w:name w:val="Quote Char"/>
    <w:basedOn w:val="DefaultParagraphFont"/>
    <w:link w:val="Quote"/>
    <w:rsid w:val="00DB3A1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B3A1D"/>
    <w:pPr>
      <w:pageBreakBefore/>
    </w:pPr>
  </w:style>
  <w:style w:type="paragraph" w:customStyle="1" w:styleId="Border">
    <w:name w:val="Border"/>
    <w:basedOn w:val="Normal"/>
    <w:qFormat/>
    <w:rsid w:val="00DB3A1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B3A1D"/>
    <w:rPr>
      <w:b/>
      <w:bCs/>
      <w:i/>
      <w:iCs/>
      <w:color w:val="auto"/>
    </w:rPr>
  </w:style>
  <w:style w:type="paragraph" w:styleId="IntenseQuote">
    <w:name w:val="Intense Quote"/>
    <w:basedOn w:val="Normal"/>
    <w:next w:val="Normal"/>
    <w:link w:val="IntenseQuoteChar"/>
    <w:uiPriority w:val="30"/>
    <w:qFormat/>
    <w:rsid w:val="00DB3A1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B3A1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B3A1D"/>
    <w:rPr>
      <w:smallCaps/>
      <w:color w:val="auto"/>
      <w:u w:val="single"/>
    </w:rPr>
  </w:style>
  <w:style w:type="character" w:styleId="IntenseReference">
    <w:name w:val="Intense Reference"/>
    <w:basedOn w:val="DefaultParagraphFont"/>
    <w:uiPriority w:val="32"/>
    <w:qFormat/>
    <w:rsid w:val="00DB3A1D"/>
    <w:rPr>
      <w:b/>
      <w:bCs/>
      <w:smallCaps/>
      <w:color w:val="auto"/>
      <w:spacing w:val="5"/>
      <w:u w:val="single"/>
    </w:rPr>
  </w:style>
  <w:style w:type="paragraph" w:customStyle="1" w:styleId="2ColumnHeading">
    <w:name w:val="2Column Heading"/>
    <w:basedOn w:val="BodyText"/>
    <w:qFormat/>
    <w:rsid w:val="00DB3A1D"/>
    <w:pPr>
      <w:spacing w:after="60"/>
      <w:ind w:left="-2268"/>
    </w:pPr>
    <w:rPr>
      <w:b/>
    </w:rPr>
  </w:style>
  <w:style w:type="paragraph" w:customStyle="1" w:styleId="Heading1TOC">
    <w:name w:val="Heading1 TOC"/>
    <w:basedOn w:val="Normal"/>
    <w:qFormat/>
    <w:rsid w:val="00DB3A1D"/>
    <w:pPr>
      <w:spacing w:before="240" w:after="120"/>
    </w:pPr>
    <w:rPr>
      <w:rFonts w:ascii="Times New Roman" w:hAnsi="Times New Roman"/>
      <w:b/>
      <w:sz w:val="32"/>
    </w:rPr>
  </w:style>
  <w:style w:type="paragraph" w:customStyle="1" w:styleId="Heading2TOC">
    <w:name w:val="Heading2 TOC"/>
    <w:basedOn w:val="Normal"/>
    <w:qFormat/>
    <w:rsid w:val="00DB3A1D"/>
    <w:pPr>
      <w:spacing w:before="240" w:after="60"/>
    </w:pPr>
    <w:rPr>
      <w:rFonts w:ascii="Times New Roman" w:hAnsi="Times New Roman"/>
      <w:b/>
      <w:sz w:val="28"/>
    </w:rPr>
  </w:style>
  <w:style w:type="character" w:customStyle="1" w:styleId="Underline">
    <w:name w:val="Underline"/>
    <w:basedOn w:val="DefaultParagraphFont"/>
    <w:qFormat/>
    <w:rsid w:val="00DB3A1D"/>
    <w:rPr>
      <w:u w:val="single"/>
    </w:rPr>
  </w:style>
  <w:style w:type="character" w:customStyle="1" w:styleId="BoldandItalics">
    <w:name w:val="Bold and Italics"/>
    <w:qFormat/>
    <w:rsid w:val="00DB3A1D"/>
    <w:rPr>
      <w:b/>
      <w:i/>
      <w:u w:val="none"/>
    </w:rPr>
  </w:style>
  <w:style w:type="paragraph" w:styleId="BalloonText">
    <w:name w:val="Balloon Text"/>
    <w:basedOn w:val="Normal"/>
    <w:link w:val="BalloonTextChar"/>
    <w:rsid w:val="00DB3A1D"/>
    <w:rPr>
      <w:rFonts w:ascii="Tahoma" w:hAnsi="Tahoma" w:cs="Tahoma"/>
      <w:sz w:val="16"/>
      <w:szCs w:val="16"/>
    </w:rPr>
  </w:style>
  <w:style w:type="character" w:customStyle="1" w:styleId="BalloonTextChar">
    <w:name w:val="Balloon Text Char"/>
    <w:basedOn w:val="DefaultParagraphFont"/>
    <w:link w:val="BalloonText"/>
    <w:rsid w:val="00DB3A1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B3A1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B3A1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B3A1D"/>
    <w:rPr>
      <w:b/>
      <w:color w:val="660033"/>
      <w:spacing w:val="0"/>
    </w:rPr>
  </w:style>
  <w:style w:type="paragraph" w:customStyle="1" w:styleId="Nameditemlist">
    <w:name w:val="Named item list"/>
    <w:basedOn w:val="BodyText"/>
    <w:qFormat/>
    <w:rsid w:val="00DB3A1D"/>
    <w:pPr>
      <w:tabs>
        <w:tab w:val="left" w:pos="2835"/>
      </w:tabs>
      <w:ind w:left="2835" w:hanging="2835"/>
    </w:pPr>
  </w:style>
  <w:style w:type="paragraph" w:customStyle="1" w:styleId="BodyTextnopadding">
    <w:name w:val="Body Text no padding"/>
    <w:basedOn w:val="BodyText"/>
    <w:qFormat/>
    <w:rsid w:val="00DB3A1D"/>
    <w:pPr>
      <w:spacing w:before="0" w:after="0"/>
    </w:pPr>
  </w:style>
  <w:style w:type="paragraph" w:customStyle="1" w:styleId="BodyTextBold">
    <w:name w:val="Body Text Bold"/>
    <w:basedOn w:val="BodyText"/>
    <w:qFormat/>
    <w:rsid w:val="00DB3A1D"/>
    <w:rPr>
      <w:b/>
    </w:rPr>
  </w:style>
  <w:style w:type="character" w:styleId="Hyperlink">
    <w:name w:val="Hyperlink"/>
    <w:basedOn w:val="DefaultParagraphFont"/>
    <w:uiPriority w:val="99"/>
    <w:unhideWhenUsed/>
    <w:rsid w:val="00AC7D9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855</Words>
  <Characters>5367</Characters>
  <Application>Microsoft Office Word</Application>
  <DocSecurity>0</DocSecurity>
  <Lines>243</Lines>
  <Paragraphs>113</Paragraphs>
  <ScaleCrop>false</ScaleCrop>
  <Company>Author-it Software Corporation Ltd.</Company>
  <LinksUpToDate>false</LinksUpToDate>
  <CharactersWithSpaces>6109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CPCCDE3016 Identify hazards on demolition sites and apply risk management strategies</dc:title>
  <dc:subject>Approved</dc:subject>
  <dc:creator>BuildSkills Australia</dc:creator>
  <cp:keywords>Release: 2</cp:keywords>
  <dc:description>Review Date: 12 April 2008</dc:description>
  <cp:lastModifiedBy>HSD_TPCMSd.prod</cp:lastModifiedBy>
  <cp:revision>3</cp:revision>
  <dcterms:created xsi:type="dcterms:W3CDTF">2024-12-24T00:54:00Z</dcterms:created>
  <dcterms:modified xsi:type="dcterms:W3CDTF">2024-12-24T00:54:00Z</dcterms:modified>
</cp:coreProperties>
</file>